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6E1D834A" w:rsidR="00196D2D" w:rsidRPr="00196D2D" w:rsidRDefault="00BE3793" w:rsidP="00711265">
            <w:pPr>
              <w:rPr>
                <w:rFonts w:asciiTheme="minorHAnsi" w:eastAsia="Arial" w:hAnsiTheme="minorHAnsi" w:cstheme="minorHAnsi"/>
                <w:szCs w:val="24"/>
              </w:rPr>
            </w:pPr>
            <w:r>
              <w:rPr>
                <w:rFonts w:asciiTheme="minorHAnsi" w:eastAsia="Arial" w:hAnsiTheme="minorHAnsi" w:cstheme="minorHAnsi"/>
                <w:szCs w:val="24"/>
              </w:rPr>
              <w:t>Find Hate Speech</w:t>
            </w:r>
          </w:p>
        </w:tc>
      </w:tr>
      <w:tr w:rsidR="00196D2D" w:rsidRPr="00BE3793"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CB2D57" w14:textId="6A8B28F2" w:rsidR="00BE3793" w:rsidRPr="00BE3793" w:rsidRDefault="00BE3793" w:rsidP="00BE3793">
            <w:pPr>
              <w:pStyle w:val="Paragrafoelenco"/>
              <w:numPr>
                <w:ilvl w:val="0"/>
                <w:numId w:val="19"/>
              </w:numPr>
              <w:rPr>
                <w:rFonts w:asciiTheme="minorHAnsi" w:hAnsiTheme="minorHAnsi" w:cstheme="minorHAnsi"/>
                <w:lang w:val="it-IT"/>
              </w:rPr>
            </w:pPr>
            <w:r w:rsidRPr="00BE3793">
              <w:rPr>
                <w:rFonts w:asciiTheme="minorHAnsi" w:hAnsiTheme="minorHAnsi" w:cstheme="minorHAnsi"/>
                <w:lang w:val="it-IT"/>
              </w:rPr>
              <w:t>Sap</w:t>
            </w:r>
            <w:r>
              <w:rPr>
                <w:rFonts w:asciiTheme="minorHAnsi" w:hAnsiTheme="minorHAnsi" w:cstheme="minorHAnsi"/>
                <w:lang w:val="it-IT"/>
              </w:rPr>
              <w:t>ere</w:t>
            </w:r>
            <w:r w:rsidRPr="00BE3793">
              <w:rPr>
                <w:rFonts w:asciiTheme="minorHAnsi" w:hAnsiTheme="minorHAnsi" w:cstheme="minorHAnsi"/>
                <w:lang w:val="it-IT"/>
              </w:rPr>
              <w:t xml:space="preserve"> che l'odio non è una semplice antipatia ma implica discriminazione.</w:t>
            </w:r>
          </w:p>
          <w:p w14:paraId="3B972046" w14:textId="054A0A0F" w:rsidR="00BE3793" w:rsidRPr="00BE3793" w:rsidRDefault="00BE3793" w:rsidP="00BE3793">
            <w:pPr>
              <w:pStyle w:val="Paragrafoelenco"/>
              <w:numPr>
                <w:ilvl w:val="0"/>
                <w:numId w:val="19"/>
              </w:numPr>
              <w:rPr>
                <w:rFonts w:asciiTheme="minorHAnsi" w:hAnsiTheme="minorHAnsi" w:cstheme="minorHAnsi"/>
                <w:lang w:val="it-IT"/>
              </w:rPr>
            </w:pPr>
            <w:r w:rsidRPr="00BE3793">
              <w:rPr>
                <w:rFonts w:asciiTheme="minorHAnsi" w:hAnsiTheme="minorHAnsi" w:cstheme="minorHAnsi"/>
                <w:lang w:val="it-IT"/>
              </w:rPr>
              <w:t>Essere consapevoli dell'incitamento all'odio come fenomeno che include l'espressione di opinioni, idee e sentimenti non solo verbalmente ma anche attraverso altre forme come immagini, arte, testi, Internet ecc.</w:t>
            </w:r>
          </w:p>
          <w:p w14:paraId="04A8524A" w14:textId="70D6F9B2" w:rsidR="00196D2D" w:rsidRPr="00BE3793" w:rsidRDefault="00BE3793" w:rsidP="00BE3793">
            <w:pPr>
              <w:pStyle w:val="Paragrafoelenco"/>
              <w:numPr>
                <w:ilvl w:val="0"/>
                <w:numId w:val="19"/>
              </w:numPr>
              <w:rPr>
                <w:rFonts w:asciiTheme="minorHAnsi" w:hAnsiTheme="minorHAnsi" w:cstheme="minorHAnsi"/>
                <w:szCs w:val="24"/>
                <w:lang w:val="it-IT"/>
              </w:rPr>
            </w:pPr>
            <w:r w:rsidRPr="00BE3793">
              <w:rPr>
                <w:rFonts w:asciiTheme="minorHAnsi" w:hAnsiTheme="minorHAnsi" w:cstheme="minorHAnsi"/>
                <w:lang w:val="it-IT"/>
              </w:rPr>
              <w:t>Essere consapevoli delle conseguenze dell'incitamento all'odio</w:t>
            </w:r>
          </w:p>
        </w:tc>
      </w:tr>
      <w:tr w:rsidR="00196D2D" w:rsidRPr="00BE3793"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59DD14" w14:textId="4B294A78" w:rsidR="00716808" w:rsidRPr="001562FE" w:rsidRDefault="00BE3793" w:rsidP="00427975">
            <w:pPr>
              <w:rPr>
                <w:rFonts w:asciiTheme="minorHAnsi" w:hAnsiTheme="minorHAnsi" w:cstheme="minorHAnsi"/>
                <w:lang w:val="it-IT"/>
              </w:rPr>
            </w:pPr>
            <w:r w:rsidRPr="00BE3793">
              <w:rPr>
                <w:rFonts w:asciiTheme="minorHAnsi" w:hAnsiTheme="minorHAnsi" w:cstheme="minorHAnsi"/>
                <w:lang w:val="it-IT"/>
              </w:rPr>
              <w:t>I tutor discutono con i partecipanti un caso di incitamento all'odio e chiediamo loro di spiegare dove lo trovano. Questo caso è consigliato per essere aggiornato o al telegiornale a livello globale o nazionale. Quindi gli educatori scelgono una storia che contiene incitamento all'odio e ne discutono con i partecipanti</w:t>
            </w:r>
          </w:p>
        </w:tc>
      </w:tr>
      <w:tr w:rsidR="00196D2D" w:rsidRPr="00BE3793"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1441FCA9" w:rsidR="00196D2D" w:rsidRPr="008032AC" w:rsidRDefault="00BE3793" w:rsidP="00711265">
            <w:pPr>
              <w:rPr>
                <w:rFonts w:asciiTheme="minorHAnsi" w:eastAsia="Arial" w:hAnsiTheme="minorHAnsi" w:cstheme="minorHAnsi"/>
                <w:szCs w:val="24"/>
                <w:lang w:val="it-IT"/>
              </w:rPr>
            </w:pPr>
            <w:r w:rsidRPr="00BE3793">
              <w:rPr>
                <w:rFonts w:asciiTheme="minorHAnsi" w:eastAsia="Arial" w:hAnsiTheme="minorHAnsi" w:cstheme="minorHAnsi"/>
                <w:szCs w:val="24"/>
                <w:lang w:val="it-IT"/>
              </w:rPr>
              <w:t>Caso di studio (tramite scenario o dal telegiornale)</w:t>
            </w:r>
          </w:p>
        </w:tc>
      </w:tr>
      <w:tr w:rsidR="00196D2D" w:rsidRPr="00BE3793"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3E758F83" w:rsidR="00196D2D" w:rsidRPr="008032AC" w:rsidRDefault="00BE3793" w:rsidP="008032AC">
            <w:pPr>
              <w:rPr>
                <w:rFonts w:asciiTheme="minorHAnsi" w:eastAsia="Arial" w:hAnsiTheme="minorHAnsi" w:cstheme="minorHAnsi"/>
                <w:szCs w:val="24"/>
                <w:lang w:val="it-IT"/>
              </w:rPr>
            </w:pPr>
            <w:r>
              <w:rPr>
                <w:rFonts w:asciiTheme="minorHAnsi" w:eastAsia="Arial" w:hAnsiTheme="minorHAnsi" w:cstheme="minorHAnsi"/>
                <w:szCs w:val="24"/>
                <w:lang w:val="it-IT"/>
              </w:rPr>
              <w:t>40-</w:t>
            </w:r>
            <w:r w:rsidR="004D6741" w:rsidRPr="004D6741">
              <w:rPr>
                <w:rFonts w:asciiTheme="minorHAnsi" w:eastAsia="Arial" w:hAnsiTheme="minorHAnsi" w:cstheme="minorHAnsi"/>
                <w:szCs w:val="24"/>
                <w:lang w:val="it-IT"/>
              </w:rPr>
              <w:t>50 minuti</w:t>
            </w:r>
          </w:p>
        </w:tc>
      </w:tr>
      <w:tr w:rsidR="00196D2D" w:rsidRPr="00BE3793"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6CBBC0" w14:textId="77777777" w:rsidR="00BE3793" w:rsidRPr="00BE3793" w:rsidRDefault="00BE3793" w:rsidP="00BE3793">
            <w:pPr>
              <w:rPr>
                <w:rFonts w:asciiTheme="minorHAnsi" w:eastAsia="Arial" w:hAnsiTheme="minorHAnsi" w:cstheme="minorHAnsi"/>
                <w:szCs w:val="24"/>
                <w:lang w:val="it-IT"/>
              </w:rPr>
            </w:pPr>
            <w:r w:rsidRPr="00BE3793">
              <w:rPr>
                <w:rFonts w:asciiTheme="minorHAnsi" w:eastAsia="Arial" w:hAnsiTheme="minorHAnsi" w:cstheme="minorHAnsi"/>
                <w:szCs w:val="24"/>
                <w:lang w:val="it-IT"/>
              </w:rPr>
              <w:t>Spazio: una camera spaziosa.</w:t>
            </w:r>
          </w:p>
          <w:p w14:paraId="78054B3A" w14:textId="3D6B9C4D" w:rsidR="00196D2D" w:rsidRPr="008032AC" w:rsidRDefault="00BE3793" w:rsidP="00BE3793">
            <w:pPr>
              <w:rPr>
                <w:rFonts w:asciiTheme="minorHAnsi" w:eastAsia="Arial" w:hAnsiTheme="minorHAnsi" w:cstheme="minorHAnsi"/>
                <w:szCs w:val="24"/>
                <w:lang w:val="it-IT"/>
              </w:rPr>
            </w:pPr>
            <w:r w:rsidRPr="00BE3793">
              <w:rPr>
                <w:rFonts w:asciiTheme="minorHAnsi" w:eastAsia="Arial" w:hAnsiTheme="minorHAnsi" w:cstheme="minorHAnsi"/>
                <w:szCs w:val="24"/>
                <w:lang w:val="it-IT"/>
              </w:rPr>
              <w:t>Materiali: carta, volantini, lavagna a fogli mobili, pennarelli da scrivere/catturare dove rilevano incitamenti all'odio</w:t>
            </w:r>
            <w:r w:rsidR="00196D2D" w:rsidRPr="008032AC">
              <w:rPr>
                <w:rFonts w:asciiTheme="minorHAnsi" w:eastAsia="Arial" w:hAnsiTheme="minorHAnsi" w:cstheme="minorHAnsi"/>
                <w:szCs w:val="24"/>
                <w:lang w:val="it-IT"/>
              </w:rPr>
              <w:t xml:space="preserve">. </w:t>
            </w:r>
          </w:p>
        </w:tc>
      </w:tr>
      <w:tr w:rsidR="00196D2D" w:rsidRPr="00BE3793"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E61E78" w14:textId="77777777" w:rsidR="00BE3793" w:rsidRPr="00BE3793" w:rsidRDefault="00BE3793" w:rsidP="00BE3793">
            <w:pPr>
              <w:rPr>
                <w:rFonts w:asciiTheme="minorHAnsi" w:hAnsiTheme="minorHAnsi" w:cstheme="minorHAnsi"/>
                <w:szCs w:val="24"/>
                <w:lang w:val="it-IT"/>
              </w:rPr>
            </w:pPr>
            <w:r w:rsidRPr="00BE3793">
              <w:rPr>
                <w:rFonts w:asciiTheme="minorHAnsi" w:hAnsiTheme="minorHAnsi" w:cstheme="minorHAnsi"/>
                <w:szCs w:val="24"/>
                <w:lang w:val="it-IT"/>
              </w:rPr>
              <w:t>Dopo il completamento dell'attività, i partecipanti dovrebbero essere in grado di:</w:t>
            </w:r>
          </w:p>
          <w:p w14:paraId="5B2BA747" w14:textId="5BEC8413"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Riflettere sui modi in cui i giovani possono partecipare o meno all'incitamento all'odio</w:t>
            </w:r>
          </w:p>
          <w:p w14:paraId="34BD25C9" w14:textId="0DAF5353"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Essere in grado di riconoscere l'incitamento all'odio nei discorsi pubblici e su Internet/social media</w:t>
            </w:r>
          </w:p>
          <w:p w14:paraId="575F6570" w14:textId="4A1477E9" w:rsidR="00BE3793" w:rsidRPr="00BE3793" w:rsidRDefault="00BE3793" w:rsidP="00BE3793">
            <w:pPr>
              <w:pStyle w:val="Paragrafoelenco"/>
              <w:numPr>
                <w:ilvl w:val="0"/>
                <w:numId w:val="20"/>
              </w:numPr>
              <w:rPr>
                <w:rFonts w:asciiTheme="minorHAnsi" w:hAnsiTheme="minorHAnsi" w:cstheme="minorHAnsi"/>
                <w:szCs w:val="24"/>
                <w:lang w:val="it-IT"/>
              </w:rPr>
            </w:pPr>
            <w:r w:rsidRPr="00BE3793">
              <w:rPr>
                <w:rFonts w:asciiTheme="minorHAnsi" w:hAnsiTheme="minorHAnsi" w:cstheme="minorHAnsi"/>
                <w:szCs w:val="24"/>
                <w:lang w:val="it-IT"/>
              </w:rPr>
              <w:t>Sviluppare abilità per cooperare, organizzare e agire insieme agli altri</w:t>
            </w:r>
          </w:p>
          <w:p w14:paraId="70150511" w14:textId="221662DE" w:rsidR="00196D2D" w:rsidRPr="00BE3793" w:rsidRDefault="00BE3793" w:rsidP="00BE3793">
            <w:pPr>
              <w:pStyle w:val="Paragrafoelenco"/>
              <w:numPr>
                <w:ilvl w:val="0"/>
                <w:numId w:val="20"/>
              </w:numPr>
              <w:rPr>
                <w:rFonts w:asciiTheme="minorHAnsi" w:eastAsia="Arial" w:hAnsiTheme="minorHAnsi" w:cstheme="minorHAnsi"/>
                <w:szCs w:val="24"/>
                <w:lang w:val="it-IT"/>
              </w:rPr>
            </w:pPr>
            <w:r w:rsidRPr="00BE3793">
              <w:rPr>
                <w:rFonts w:asciiTheme="minorHAnsi" w:hAnsiTheme="minorHAnsi" w:cstheme="minorHAnsi"/>
                <w:szCs w:val="24"/>
                <w:lang w:val="it-IT"/>
              </w:rPr>
              <w:t>Coltivare un senso di responsabilità per le proprie azioni</w:t>
            </w:r>
          </w:p>
        </w:tc>
      </w:tr>
      <w:tr w:rsidR="00196D2D" w:rsidRPr="00BE3793"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2D2BF1A0" w:rsidR="0060504F" w:rsidRPr="0060504F" w:rsidRDefault="00BE3793" w:rsidP="00711265">
            <w:pPr>
              <w:pStyle w:val="NormaleWeb"/>
              <w:rPr>
                <w:rFonts w:asciiTheme="minorHAnsi" w:hAnsiTheme="minorHAnsi" w:cstheme="minorHAnsi"/>
                <w:lang w:val="it-IT"/>
              </w:rPr>
            </w:pPr>
            <w:r>
              <w:rPr>
                <w:rFonts w:asciiTheme="minorHAnsi" w:hAnsiTheme="minorHAnsi" w:cstheme="minorHAnsi"/>
                <w:lang w:val="it-IT"/>
              </w:rPr>
              <w:t>Comprendere l’incitamento all’odio</w:t>
            </w:r>
            <w:r w:rsidR="004D6741">
              <w:rPr>
                <w:rFonts w:asciiTheme="minorHAnsi" w:hAnsiTheme="minorHAnsi" w:cstheme="minorHAnsi"/>
                <w:lang w:val="it-IT"/>
              </w:rPr>
              <w:t>.</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29120279" w:rsidR="00196D2D" w:rsidRPr="00283211" w:rsidRDefault="00BE3793" w:rsidP="00711265">
            <w:pPr>
              <w:rPr>
                <w:rFonts w:asciiTheme="minorHAnsi" w:eastAsia="Arial" w:hAnsiTheme="minorHAnsi" w:cstheme="minorHAnsi"/>
                <w:szCs w:val="24"/>
              </w:rPr>
            </w:pPr>
            <w:r w:rsidRPr="00BE3793">
              <w:rPr>
                <w:rFonts w:asciiTheme="minorHAnsi" w:eastAsia="Arial" w:hAnsiTheme="minorHAnsi" w:cstheme="minorHAnsi"/>
                <w:szCs w:val="24"/>
              </w:rPr>
              <w:t>The Smile of the Child</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A25E8" w14:textId="77777777" w:rsidR="00FB690C" w:rsidRDefault="00FB690C" w:rsidP="005D628C">
      <w:pPr>
        <w:spacing w:after="0" w:line="240" w:lineRule="auto"/>
      </w:pPr>
      <w:r>
        <w:separator/>
      </w:r>
    </w:p>
  </w:endnote>
  <w:endnote w:type="continuationSeparator" w:id="0">
    <w:p w14:paraId="0CC693D7" w14:textId="77777777" w:rsidR="00FB690C" w:rsidRDefault="00FB690C"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B0224" w14:textId="77777777" w:rsidR="00FB690C" w:rsidRDefault="00FB690C" w:rsidP="005D628C">
      <w:pPr>
        <w:spacing w:after="0" w:line="240" w:lineRule="auto"/>
      </w:pPr>
      <w:r>
        <w:separator/>
      </w:r>
    </w:p>
  </w:footnote>
  <w:footnote w:type="continuationSeparator" w:id="0">
    <w:p w14:paraId="57D051BA" w14:textId="77777777" w:rsidR="00FB690C" w:rsidRDefault="00FB690C"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37A27718"/>
    <w:multiLevelType w:val="hybridMultilevel"/>
    <w:tmpl w:val="611843D0"/>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665FBE"/>
    <w:multiLevelType w:val="hybridMultilevel"/>
    <w:tmpl w:val="96CA519C"/>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2"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6"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9"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7"/>
  </w:num>
  <w:num w:numId="3" w16cid:durableId="871724694">
    <w:abstractNumId w:val="14"/>
  </w:num>
  <w:num w:numId="4" w16cid:durableId="1889687773">
    <w:abstractNumId w:val="5"/>
  </w:num>
  <w:num w:numId="5" w16cid:durableId="299579655">
    <w:abstractNumId w:val="8"/>
  </w:num>
  <w:num w:numId="6" w16cid:durableId="728845411">
    <w:abstractNumId w:val="18"/>
  </w:num>
  <w:num w:numId="7" w16cid:durableId="1353720840">
    <w:abstractNumId w:val="4"/>
  </w:num>
  <w:num w:numId="8" w16cid:durableId="1854801784">
    <w:abstractNumId w:val="11"/>
  </w:num>
  <w:num w:numId="9" w16cid:durableId="435253453">
    <w:abstractNumId w:val="13"/>
  </w:num>
  <w:num w:numId="10" w16cid:durableId="416291321">
    <w:abstractNumId w:val="7"/>
  </w:num>
  <w:num w:numId="11" w16cid:durableId="1225988920">
    <w:abstractNumId w:val="19"/>
  </w:num>
  <w:num w:numId="12" w16cid:durableId="767892400">
    <w:abstractNumId w:val="15"/>
  </w:num>
  <w:num w:numId="13" w16cid:durableId="10181218">
    <w:abstractNumId w:val="12"/>
  </w:num>
  <w:num w:numId="14" w16cid:durableId="857350697">
    <w:abstractNumId w:val="3"/>
  </w:num>
  <w:num w:numId="15" w16cid:durableId="1169517916">
    <w:abstractNumId w:val="6"/>
  </w:num>
  <w:num w:numId="16" w16cid:durableId="526021542">
    <w:abstractNumId w:val="16"/>
  </w:num>
  <w:num w:numId="17" w16cid:durableId="2102799402">
    <w:abstractNumId w:val="1"/>
  </w:num>
  <w:num w:numId="18" w16cid:durableId="258024236">
    <w:abstractNumId w:val="0"/>
  </w:num>
  <w:num w:numId="19" w16cid:durableId="2121603101">
    <w:abstractNumId w:val="9"/>
  </w:num>
  <w:num w:numId="20" w16cid:durableId="1107313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534B7"/>
    <w:rsid w:val="00271D74"/>
    <w:rsid w:val="0027234D"/>
    <w:rsid w:val="00283211"/>
    <w:rsid w:val="002A41FC"/>
    <w:rsid w:val="002B6AD7"/>
    <w:rsid w:val="002D38DE"/>
    <w:rsid w:val="002D4735"/>
    <w:rsid w:val="00315E38"/>
    <w:rsid w:val="00360B41"/>
    <w:rsid w:val="00364B26"/>
    <w:rsid w:val="003A2A59"/>
    <w:rsid w:val="003A5C00"/>
    <w:rsid w:val="003C4850"/>
    <w:rsid w:val="003D1897"/>
    <w:rsid w:val="003D5AB6"/>
    <w:rsid w:val="00425A6D"/>
    <w:rsid w:val="00427975"/>
    <w:rsid w:val="004329F3"/>
    <w:rsid w:val="00467A8C"/>
    <w:rsid w:val="00496534"/>
    <w:rsid w:val="004D6741"/>
    <w:rsid w:val="005252EE"/>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433D3"/>
    <w:rsid w:val="00892695"/>
    <w:rsid w:val="008A0D2B"/>
    <w:rsid w:val="008B7542"/>
    <w:rsid w:val="008D6F27"/>
    <w:rsid w:val="008F2C89"/>
    <w:rsid w:val="009144A9"/>
    <w:rsid w:val="00920C3B"/>
    <w:rsid w:val="0092132A"/>
    <w:rsid w:val="009429AB"/>
    <w:rsid w:val="009652C9"/>
    <w:rsid w:val="009875F5"/>
    <w:rsid w:val="009B3663"/>
    <w:rsid w:val="009C5503"/>
    <w:rsid w:val="009D12C8"/>
    <w:rsid w:val="009E5F85"/>
    <w:rsid w:val="009F0B24"/>
    <w:rsid w:val="00A14F2B"/>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D10E9"/>
    <w:rsid w:val="00BE3793"/>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B690C"/>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224</Words>
  <Characters>1280</Characters>
  <Application>Microsoft Office Word</Application>
  <DocSecurity>0</DocSecurity>
  <Lines>10</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2022-11-01T12:41:00Z</dcterms:created>
  <dcterms:modified xsi:type="dcterms:W3CDTF">2022-11-01T12:47:00Z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