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AB455" w14:textId="4D17D475" w:rsidR="004519DE" w:rsidRDefault="004519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e1"/>
        <w:tblW w:w="9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284"/>
        <w:gridCol w:w="2175"/>
        <w:gridCol w:w="2127"/>
        <w:gridCol w:w="1990"/>
      </w:tblGrid>
      <w:tr w:rsidR="004519DE" w14:paraId="398C3846" w14:textId="77777777">
        <w:trPr>
          <w:trHeight w:val="547"/>
        </w:trPr>
        <w:tc>
          <w:tcPr>
            <w:tcW w:w="524" w:type="dxa"/>
            <w:vMerge w:val="restart"/>
          </w:tcPr>
          <w:p w14:paraId="6F0520DB" w14:textId="77777777" w:rsidR="004519DE" w:rsidRDefault="004519DE">
            <w:pPr>
              <w:spacing w:before="96" w:after="96"/>
              <w:rPr>
                <w:b/>
              </w:rPr>
            </w:pPr>
          </w:p>
        </w:tc>
        <w:tc>
          <w:tcPr>
            <w:tcW w:w="2284" w:type="dxa"/>
            <w:vMerge w:val="restart"/>
          </w:tcPr>
          <w:p w14:paraId="32CA54B1" w14:textId="77777777" w:rsidR="004519DE" w:rsidRDefault="00F57558">
            <w:pPr>
              <w:spacing w:before="96" w:after="96"/>
              <w:rPr>
                <w:b/>
              </w:rPr>
            </w:pPr>
            <w:r>
              <w:rPr>
                <w:b/>
                <w:lang w:val="nl"/>
              </w:rPr>
              <w:t>Module/Eenheid</w:t>
            </w:r>
          </w:p>
        </w:tc>
        <w:tc>
          <w:tcPr>
            <w:tcW w:w="6292" w:type="dxa"/>
            <w:gridSpan w:val="3"/>
          </w:tcPr>
          <w:p w14:paraId="171FC9C5" w14:textId="77777777" w:rsidR="004519DE" w:rsidRDefault="00F57558">
            <w:pPr>
              <w:spacing w:before="96" w:after="96"/>
              <w:jc w:val="center"/>
              <w:rPr>
                <w:b/>
              </w:rPr>
            </w:pPr>
            <w:r>
              <w:rPr>
                <w:b/>
                <w:lang w:val="nl"/>
              </w:rPr>
              <w:t>Leerdoelen</w:t>
            </w:r>
            <w:r>
              <w:rPr>
                <w:b/>
                <w:vertAlign w:val="superscript"/>
                <w:lang w:val="nl"/>
              </w:rPr>
              <w:footnoteReference w:id="1"/>
            </w:r>
          </w:p>
        </w:tc>
      </w:tr>
      <w:tr w:rsidR="004519DE" w14:paraId="37673B6D" w14:textId="77777777">
        <w:trPr>
          <w:trHeight w:val="555"/>
        </w:trPr>
        <w:tc>
          <w:tcPr>
            <w:tcW w:w="524" w:type="dxa"/>
            <w:vMerge/>
          </w:tcPr>
          <w:p w14:paraId="5357A7A0" w14:textId="77777777" w:rsidR="004519DE" w:rsidRDefault="00451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rPr>
                <w:b/>
              </w:rPr>
            </w:pPr>
          </w:p>
        </w:tc>
        <w:tc>
          <w:tcPr>
            <w:tcW w:w="2284" w:type="dxa"/>
            <w:vMerge/>
          </w:tcPr>
          <w:p w14:paraId="64C688ED" w14:textId="77777777" w:rsidR="004519DE" w:rsidRDefault="00451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rPr>
                <w:b/>
              </w:rPr>
            </w:pPr>
          </w:p>
        </w:tc>
        <w:tc>
          <w:tcPr>
            <w:tcW w:w="2175" w:type="dxa"/>
          </w:tcPr>
          <w:p w14:paraId="2F7FEA34" w14:textId="77777777" w:rsidR="004519DE" w:rsidRDefault="00F57558">
            <w:pPr>
              <w:spacing w:before="96" w:after="96"/>
              <w:rPr>
                <w:b/>
              </w:rPr>
            </w:pPr>
            <w:r>
              <w:rPr>
                <w:b/>
                <w:lang w:val="nl"/>
              </w:rPr>
              <w:t>Kennis</w:t>
            </w:r>
          </w:p>
        </w:tc>
        <w:tc>
          <w:tcPr>
            <w:tcW w:w="2127" w:type="dxa"/>
          </w:tcPr>
          <w:p w14:paraId="59489B44" w14:textId="77777777" w:rsidR="004519DE" w:rsidRDefault="00F57558">
            <w:pPr>
              <w:spacing w:before="96" w:after="96"/>
              <w:rPr>
                <w:b/>
              </w:rPr>
            </w:pPr>
            <w:r>
              <w:rPr>
                <w:b/>
                <w:lang w:val="nl"/>
              </w:rPr>
              <w:t>Vaardigheden</w:t>
            </w:r>
          </w:p>
        </w:tc>
        <w:tc>
          <w:tcPr>
            <w:tcW w:w="1990" w:type="dxa"/>
          </w:tcPr>
          <w:p w14:paraId="51795964" w14:textId="77777777" w:rsidR="004519DE" w:rsidRDefault="00F57558">
            <w:pPr>
              <w:spacing w:before="96" w:after="96"/>
              <w:rPr>
                <w:b/>
              </w:rPr>
            </w:pPr>
            <w:r>
              <w:rPr>
                <w:b/>
                <w:lang w:val="nl"/>
              </w:rPr>
              <w:t>Houding</w:t>
            </w:r>
          </w:p>
        </w:tc>
      </w:tr>
      <w:tr w:rsidR="004519DE" w14:paraId="4370CB93" w14:textId="77777777">
        <w:tc>
          <w:tcPr>
            <w:tcW w:w="524" w:type="dxa"/>
          </w:tcPr>
          <w:p w14:paraId="0E5FA63C" w14:textId="77777777" w:rsidR="004519DE" w:rsidRDefault="00F57558">
            <w:pPr>
              <w:spacing w:before="96" w:after="96"/>
              <w:rPr>
                <w:b/>
              </w:rPr>
            </w:pPr>
            <w:r>
              <w:rPr>
                <w:b/>
                <w:lang w:val="nl"/>
              </w:rPr>
              <w:t>1</w:t>
            </w:r>
          </w:p>
        </w:tc>
        <w:tc>
          <w:tcPr>
            <w:tcW w:w="2284" w:type="dxa"/>
          </w:tcPr>
          <w:p w14:paraId="0678F2EA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0695D">
              <w:rPr>
                <w:b/>
                <w:sz w:val="24"/>
                <w:szCs w:val="24"/>
                <w:lang w:val="nl"/>
              </w:rPr>
              <w:t>Titel van de module</w:t>
            </w:r>
          </w:p>
          <w:p w14:paraId="690BA770" w14:textId="77777777" w:rsidR="004519DE" w:rsidRPr="00BB3A32" w:rsidRDefault="00F5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/>
              </w:rPr>
            </w:pPr>
            <w:r w:rsidRPr="0020695D">
              <w:rPr>
                <w:color w:val="000000"/>
                <w:sz w:val="24"/>
                <w:szCs w:val="24"/>
                <w:lang w:val="nl"/>
              </w:rPr>
              <w:t>Het erkennen van onze eigen bijdragen aan haatzaaien en onverdraagzaamheid.</w:t>
            </w:r>
          </w:p>
          <w:p w14:paraId="7F2368DF" w14:textId="77777777" w:rsidR="004519DE" w:rsidRPr="00BB3A32" w:rsidRDefault="004519DE">
            <w:pPr>
              <w:spacing w:before="96" w:after="96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</w:p>
        </w:tc>
        <w:tc>
          <w:tcPr>
            <w:tcW w:w="2175" w:type="dxa"/>
          </w:tcPr>
          <w:p w14:paraId="0C7B3684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Aan het einde van de</w:t>
            </w:r>
          </w:p>
          <w:p w14:paraId="6DE71109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module</w:t>
            </w:r>
          </w:p>
          <w:p w14:paraId="5485711E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deelnemers moeten</w:t>
            </w:r>
          </w:p>
          <w:p w14:paraId="1E5166A4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in staat zijn om te identificeren</w:t>
            </w:r>
          </w:p>
          <w:p w14:paraId="33DB53C8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haatzaaiende uitlatingen en</w:t>
            </w:r>
          </w:p>
          <w:p w14:paraId="0029EDF6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welke categorieën</w:t>
            </w:r>
          </w:p>
          <w:p w14:paraId="639AA2B9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worden gediscrimineerd</w:t>
            </w:r>
          </w:p>
          <w:p w14:paraId="3E61816E" w14:textId="77777777" w:rsidR="004519DE" w:rsidRPr="0020695D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</w:rPr>
            </w:pPr>
            <w:r w:rsidRPr="0020695D">
              <w:rPr>
                <w:sz w:val="24"/>
                <w:szCs w:val="24"/>
                <w:lang w:val="nl"/>
              </w:rPr>
              <w:t>tegen.</w:t>
            </w:r>
          </w:p>
        </w:tc>
        <w:tc>
          <w:tcPr>
            <w:tcW w:w="2127" w:type="dxa"/>
          </w:tcPr>
          <w:p w14:paraId="3DAF223E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Aan het einde van de</w:t>
            </w:r>
          </w:p>
          <w:p w14:paraId="02C170BB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module</w:t>
            </w:r>
          </w:p>
          <w:p w14:paraId="520E5EFE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deelnemers moeten</w:t>
            </w:r>
          </w:p>
          <w:p w14:paraId="0C5F24CC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kunnen reflecteren</w:t>
            </w:r>
          </w:p>
          <w:p w14:paraId="39136D84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over hoe haat</w:t>
            </w:r>
          </w:p>
          <w:p w14:paraId="395D3EC4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spraak beïnvloedt</w:t>
            </w:r>
          </w:p>
          <w:p w14:paraId="493DA890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het leven van mensen en</w:t>
            </w:r>
          </w:p>
          <w:p w14:paraId="5D788177" w14:textId="77777777" w:rsidR="004519DE" w:rsidRPr="0020695D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</w:rPr>
            </w:pPr>
            <w:r w:rsidRPr="0020695D">
              <w:rPr>
                <w:sz w:val="24"/>
                <w:szCs w:val="24"/>
                <w:lang w:val="nl"/>
              </w:rPr>
              <w:t>hoe ertegen te handelen.</w:t>
            </w:r>
          </w:p>
        </w:tc>
        <w:tc>
          <w:tcPr>
            <w:tcW w:w="1990" w:type="dxa"/>
          </w:tcPr>
          <w:p w14:paraId="730B944F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De doelstellingen van de module</w:t>
            </w:r>
          </w:p>
          <w:p w14:paraId="1E4591FD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bij het cultiveren van de</w:t>
            </w:r>
          </w:p>
          <w:p w14:paraId="6DFE50FA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volgend</w:t>
            </w:r>
          </w:p>
          <w:p w14:paraId="50757E41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Houding:</w:t>
            </w:r>
          </w:p>
          <w:p w14:paraId="46797222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Respect voor</w:t>
            </w:r>
          </w:p>
          <w:p w14:paraId="3C1C591E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diversiteit</w:t>
            </w:r>
          </w:p>
          <w:p w14:paraId="2693BAC7" w14:textId="77777777" w:rsidR="004519DE" w:rsidRPr="00BB3A32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0695D">
              <w:rPr>
                <w:sz w:val="24"/>
                <w:szCs w:val="24"/>
                <w:lang w:val="nl"/>
              </w:rPr>
              <w:t>Kritisch denken</w:t>
            </w:r>
          </w:p>
          <w:p w14:paraId="0C7126D5" w14:textId="77777777" w:rsidR="004519DE" w:rsidRPr="0020695D" w:rsidRDefault="00F57558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</w:rPr>
            </w:pPr>
            <w:r w:rsidRPr="0020695D">
              <w:rPr>
                <w:sz w:val="24"/>
                <w:szCs w:val="24"/>
                <w:lang w:val="nl"/>
              </w:rPr>
              <w:t>Groeimindset</w:t>
            </w:r>
          </w:p>
          <w:p w14:paraId="6BEB783E" w14:textId="77777777" w:rsidR="004519DE" w:rsidRPr="0020695D" w:rsidRDefault="004519DE">
            <w:pPr>
              <w:spacing w:before="96" w:after="9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519DE" w:rsidRPr="00BB3A32" w14:paraId="7C137593" w14:textId="77777777">
        <w:tc>
          <w:tcPr>
            <w:tcW w:w="524" w:type="dxa"/>
          </w:tcPr>
          <w:p w14:paraId="593E935A" w14:textId="77777777" w:rsidR="004519DE" w:rsidRDefault="00F57558">
            <w:pPr>
              <w:spacing w:before="96" w:after="96"/>
              <w:rPr>
                <w:b/>
              </w:rPr>
            </w:pPr>
            <w:r>
              <w:rPr>
                <w:b/>
                <w:lang w:val="nl"/>
              </w:rPr>
              <w:t>1.1</w:t>
            </w:r>
          </w:p>
        </w:tc>
        <w:tc>
          <w:tcPr>
            <w:tcW w:w="2284" w:type="dxa"/>
          </w:tcPr>
          <w:p w14:paraId="50A7D270" w14:textId="77777777" w:rsidR="004519DE" w:rsidRDefault="00F57558">
            <w:pPr>
              <w:spacing w:before="96" w:after="96"/>
              <w:rPr>
                <w:u w:val="single"/>
              </w:rPr>
            </w:pPr>
            <w:r>
              <w:rPr>
                <w:u w:val="single"/>
                <w:lang w:val="nl"/>
              </w:rPr>
              <w:t>Herken haatgedrag in alledaagse situaties</w:t>
            </w:r>
          </w:p>
          <w:p w14:paraId="5140FE5C" w14:textId="77777777" w:rsidR="004519DE" w:rsidRPr="00BB3A32" w:rsidRDefault="00F575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rPr>
                <w:color w:val="000000"/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Observeer de rol van sociale media bij het faciliteren van haatzaaiende uitlatingen</w:t>
            </w:r>
          </w:p>
          <w:p w14:paraId="456AE9EF" w14:textId="77777777" w:rsidR="004519DE" w:rsidRPr="00BB3A32" w:rsidRDefault="0045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96"/>
              <w:ind w:left="720"/>
              <w:rPr>
                <w:sz w:val="24"/>
                <w:szCs w:val="24"/>
                <w:lang w:val="nl-NL"/>
              </w:rPr>
            </w:pPr>
          </w:p>
          <w:p w14:paraId="319D5FD9" w14:textId="77777777" w:rsidR="004519DE" w:rsidRPr="00BB3A32" w:rsidRDefault="00F575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 xml:space="preserve">Gebruik het debat om na te denken over onze </w:t>
            </w:r>
            <w:r>
              <w:rPr>
                <w:sz w:val="24"/>
                <w:szCs w:val="24"/>
                <w:lang w:val="nl"/>
              </w:rPr>
              <w:lastRenderedPageBreak/>
              <w:t xml:space="preserve">eigen bijdragen. </w:t>
            </w:r>
          </w:p>
          <w:p w14:paraId="7D72E27E" w14:textId="77777777" w:rsidR="004519DE" w:rsidRPr="00BB3A32" w:rsidRDefault="0045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96"/>
              <w:ind w:left="720"/>
              <w:rPr>
                <w:sz w:val="24"/>
                <w:szCs w:val="24"/>
                <w:lang w:val="nl-NL"/>
              </w:rPr>
            </w:pPr>
          </w:p>
          <w:p w14:paraId="3B67F3BC" w14:textId="77777777" w:rsidR="004519DE" w:rsidRPr="00BB3A32" w:rsidRDefault="00F5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Gerelateerde activiteiten: -Stand Up Bigotry (gedetailleerde sjabloon bijgevoegd)</w:t>
            </w:r>
          </w:p>
          <w:p w14:paraId="1DFE45CC" w14:textId="77777777" w:rsidR="004519DE" w:rsidRPr="00BB3A32" w:rsidRDefault="00F5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-Attack and Avoid (gedetailleerde sjabloon bijgevoegd)</w:t>
            </w:r>
          </w:p>
          <w:p w14:paraId="3EC85610" w14:textId="77777777" w:rsidR="004519DE" w:rsidRPr="00BB3A32" w:rsidRDefault="00F57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- Stel je dit voor (gedetailleerde sjabloon bijgevoegd)</w:t>
            </w:r>
          </w:p>
        </w:tc>
        <w:tc>
          <w:tcPr>
            <w:tcW w:w="2175" w:type="dxa"/>
          </w:tcPr>
          <w:p w14:paraId="269A6B12" w14:textId="77777777" w:rsidR="004519DE" w:rsidRPr="00BB3A32" w:rsidRDefault="00F57558">
            <w:pPr>
              <w:spacing w:before="96" w:after="96"/>
              <w:rPr>
                <w:lang w:val="nl-NL"/>
              </w:rPr>
            </w:pPr>
            <w:r>
              <w:rPr>
                <w:color w:val="000000"/>
                <w:sz w:val="27"/>
                <w:szCs w:val="27"/>
                <w:lang w:val="nl"/>
              </w:rPr>
              <w:lastRenderedPageBreak/>
              <w:t>Toon kennis en begrip van de betekenis van haatzaaien bij het bevorderen van geweld en sociale ontwrichting.</w:t>
            </w:r>
          </w:p>
        </w:tc>
        <w:tc>
          <w:tcPr>
            <w:tcW w:w="2127" w:type="dxa"/>
          </w:tcPr>
          <w:p w14:paraId="0D0A616B" w14:textId="77777777" w:rsidR="004519DE" w:rsidRPr="00BB3A32" w:rsidRDefault="00F57558">
            <w:pPr>
              <w:spacing w:before="40" w:after="96"/>
              <w:ind w:left="34"/>
              <w:rPr>
                <w:highlight w:val="white"/>
                <w:lang w:val="nl-NL"/>
              </w:rPr>
            </w:pPr>
            <w:r>
              <w:rPr>
                <w:color w:val="000000"/>
                <w:sz w:val="27"/>
                <w:szCs w:val="27"/>
                <w:lang w:val="nl"/>
              </w:rPr>
              <w:t xml:space="preserve">Begrijp activiteiten die de schijnbaar universele behoefte onderzoeken om je sterker en veiliger te voelen door anderen uit te sluiten of te discrimineren. Begrijp activiteiten die onderzoeken </w:t>
            </w:r>
            <w:r>
              <w:rPr>
                <w:color w:val="000000"/>
                <w:sz w:val="27"/>
                <w:szCs w:val="27"/>
                <w:lang w:val="nl"/>
              </w:rPr>
              <w:lastRenderedPageBreak/>
              <w:t>hoe we anderen uitsluiten door middel van geklets, vriendschapsgroepen, kleding, enz.</w:t>
            </w:r>
          </w:p>
        </w:tc>
        <w:tc>
          <w:tcPr>
            <w:tcW w:w="1990" w:type="dxa"/>
          </w:tcPr>
          <w:p w14:paraId="6247EB1C" w14:textId="77777777" w:rsidR="004519DE" w:rsidRPr="00BB3A32" w:rsidRDefault="00F57558">
            <w:pPr>
              <w:spacing w:before="40" w:after="96"/>
              <w:rPr>
                <w:highlight w:val="white"/>
                <w:lang w:val="nl-NL"/>
              </w:rPr>
            </w:pPr>
            <w:r>
              <w:rPr>
                <w:color w:val="000000"/>
                <w:sz w:val="27"/>
                <w:szCs w:val="27"/>
                <w:lang w:val="nl"/>
              </w:rPr>
              <w:lastRenderedPageBreak/>
              <w:t>Het begrijpen en accepteren van onze eigen bijdragen aan haatzaaien en onverdraagzaamheid</w:t>
            </w:r>
          </w:p>
        </w:tc>
      </w:tr>
    </w:tbl>
    <w:p w14:paraId="11927188" w14:textId="77777777" w:rsidR="004519DE" w:rsidRPr="00BB3A32" w:rsidRDefault="004519DE">
      <w:pPr>
        <w:widowControl w:val="0"/>
        <w:spacing w:before="0" w:after="0"/>
        <w:rPr>
          <w:rFonts w:ascii="Arial" w:eastAsia="Arial" w:hAnsi="Arial" w:cs="Arial"/>
          <w:sz w:val="22"/>
          <w:szCs w:val="22"/>
          <w:lang w:val="nl-NL"/>
        </w:rPr>
      </w:pPr>
    </w:p>
    <w:tbl>
      <w:tblPr>
        <w:tblStyle w:val="Table2"/>
        <w:tblW w:w="9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284"/>
        <w:gridCol w:w="2175"/>
        <w:gridCol w:w="2127"/>
        <w:gridCol w:w="1990"/>
      </w:tblGrid>
      <w:tr w:rsidR="004519DE" w:rsidRPr="00BB3A32" w14:paraId="2DAEF839" w14:textId="77777777">
        <w:tc>
          <w:tcPr>
            <w:tcW w:w="524" w:type="dxa"/>
          </w:tcPr>
          <w:p w14:paraId="3A1A1BE3" w14:textId="77777777" w:rsidR="004519DE" w:rsidRDefault="00F57558">
            <w:pPr>
              <w:spacing w:before="96" w:after="96"/>
              <w:rPr>
                <w:b/>
              </w:rPr>
            </w:pPr>
            <w:r>
              <w:rPr>
                <w:b/>
                <w:lang w:val="nl"/>
              </w:rPr>
              <w:t>1.2</w:t>
            </w:r>
          </w:p>
        </w:tc>
        <w:tc>
          <w:tcPr>
            <w:tcW w:w="2284" w:type="dxa"/>
          </w:tcPr>
          <w:p w14:paraId="16ACB71F" w14:textId="77777777" w:rsidR="004519DE" w:rsidRPr="00BB3A32" w:rsidRDefault="00F57558">
            <w:pPr>
              <w:spacing w:before="96" w:after="96"/>
              <w:rPr>
                <w:u w:val="single"/>
                <w:lang w:val="nl-NL"/>
              </w:rPr>
            </w:pPr>
            <w:r>
              <w:rPr>
                <w:u w:val="single"/>
                <w:lang w:val="nl"/>
              </w:rPr>
              <w:t>Denk na over onbewuste vooroordelen die leiden tot onverdraagzaamheid en haatzaaien</w:t>
            </w:r>
          </w:p>
          <w:p w14:paraId="7AF9EA10" w14:textId="77777777" w:rsidR="004519DE" w:rsidRPr="00BB3A32" w:rsidRDefault="004519DE">
            <w:pPr>
              <w:spacing w:before="96"/>
              <w:ind w:left="720"/>
              <w:rPr>
                <w:sz w:val="24"/>
                <w:szCs w:val="24"/>
                <w:lang w:val="nl-NL"/>
              </w:rPr>
            </w:pPr>
          </w:p>
          <w:p w14:paraId="609564CB" w14:textId="77777777" w:rsidR="004519DE" w:rsidRPr="00BB3A32" w:rsidRDefault="00F57558">
            <w:pPr>
              <w:numPr>
                <w:ilvl w:val="0"/>
                <w:numId w:val="1"/>
              </w:numPr>
              <w:spacing w:before="0" w:after="96"/>
              <w:rPr>
                <w:lang w:val="nl-NL"/>
              </w:rPr>
            </w:pPr>
            <w:r>
              <w:rPr>
                <w:sz w:val="24"/>
                <w:szCs w:val="24"/>
                <w:lang w:val="nl"/>
              </w:rPr>
              <w:t>Identificeer hoe haatdragende taal en onverdraagzaamheid liggen in gediversifieerde sociale groepen</w:t>
            </w:r>
          </w:p>
          <w:p w14:paraId="5E4898AF" w14:textId="77777777" w:rsidR="004519DE" w:rsidRPr="00BB3A32" w:rsidRDefault="00F57558">
            <w:pPr>
              <w:numPr>
                <w:ilvl w:val="0"/>
                <w:numId w:val="1"/>
              </w:numP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Leer over onze eigen grenzen en oordelen/onderbewusten</w:t>
            </w:r>
          </w:p>
          <w:p w14:paraId="221662B8" w14:textId="77777777" w:rsidR="004519DE" w:rsidRPr="00BB3A32" w:rsidRDefault="00F57558">
            <w:pPr>
              <w:numPr>
                <w:ilvl w:val="0"/>
                <w:numId w:val="1"/>
              </w:numPr>
              <w:spacing w:before="0" w:after="96"/>
              <w:rPr>
                <w:lang w:val="nl-NL"/>
              </w:rPr>
            </w:pPr>
            <w:r>
              <w:rPr>
                <w:sz w:val="24"/>
                <w:szCs w:val="24"/>
                <w:lang w:val="nl"/>
              </w:rPr>
              <w:t xml:space="preserve">Voer een constructief debat terwijl je verschillende </w:t>
            </w:r>
            <w:r>
              <w:rPr>
                <w:sz w:val="24"/>
                <w:szCs w:val="24"/>
                <w:lang w:val="nl"/>
              </w:rPr>
              <w:lastRenderedPageBreak/>
              <w:t xml:space="preserve">standpunten bespreekt </w:t>
            </w:r>
          </w:p>
          <w:p w14:paraId="4FD5EAF5" w14:textId="77777777" w:rsidR="004519DE" w:rsidRPr="00BB3A32" w:rsidRDefault="004519DE">
            <w:pPr>
              <w:spacing w:before="0" w:after="96"/>
              <w:rPr>
                <w:sz w:val="24"/>
                <w:szCs w:val="24"/>
                <w:lang w:val="nl-NL"/>
              </w:rPr>
            </w:pPr>
          </w:p>
          <w:p w14:paraId="5CA3A918" w14:textId="77777777" w:rsidR="004519DE" w:rsidRPr="00BB3A32" w:rsidRDefault="00F57558">
            <w:pP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Gerelateerde activiteiten: -WhatsAppening</w:t>
            </w:r>
            <w:r>
              <w:rPr>
                <w:lang w:val="nl"/>
              </w:rPr>
              <w:t>?</w:t>
            </w:r>
            <w:r>
              <w:rPr>
                <w:sz w:val="24"/>
                <w:szCs w:val="24"/>
                <w:lang w:val="nl"/>
              </w:rPr>
              <w:t>? (gedetailleerde sjabloon bijgevoegd)</w:t>
            </w:r>
          </w:p>
          <w:p w14:paraId="0D9AF3BC" w14:textId="77777777" w:rsidR="004519DE" w:rsidRPr="00BB3A32" w:rsidRDefault="00F57558">
            <w:pP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-De jurk (gedetailleerde sjabloon bijgevoegd)</w:t>
            </w:r>
          </w:p>
          <w:p w14:paraId="0C8529FF" w14:textId="77777777" w:rsidR="004519DE" w:rsidRPr="00BB3A32" w:rsidRDefault="00F57558">
            <w:pP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-Stand Up Bigotry (gedetailleerde sjabloon bijgevoegd)</w:t>
            </w:r>
          </w:p>
          <w:p w14:paraId="6BA8E60A" w14:textId="77777777" w:rsidR="004519DE" w:rsidRPr="00BB3A32" w:rsidRDefault="00F57558">
            <w:pP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- Stel je dit voor (gedetailleerde sjabloon bijgevoegd)</w:t>
            </w:r>
          </w:p>
        </w:tc>
        <w:tc>
          <w:tcPr>
            <w:tcW w:w="2175" w:type="dxa"/>
          </w:tcPr>
          <w:p w14:paraId="498DF5A2" w14:textId="77777777" w:rsidR="004519DE" w:rsidRPr="00BB3A32" w:rsidRDefault="00F57558">
            <w:pPr>
              <w:spacing w:before="96" w:after="96"/>
              <w:rPr>
                <w:lang w:val="nl-NL"/>
              </w:rPr>
            </w:pPr>
            <w:r>
              <w:rPr>
                <w:sz w:val="27"/>
                <w:szCs w:val="27"/>
                <w:lang w:val="nl"/>
              </w:rPr>
              <w:lastRenderedPageBreak/>
              <w:t>Toon kennis en begrip van het mechanisme van onze eigen vooroordelen en hun rol in het faciliteren van haatgedrag, spraak en onverdraagzaamheid.</w:t>
            </w:r>
          </w:p>
        </w:tc>
        <w:tc>
          <w:tcPr>
            <w:tcW w:w="2127" w:type="dxa"/>
          </w:tcPr>
          <w:p w14:paraId="6615262F" w14:textId="77777777" w:rsidR="004519DE" w:rsidRPr="00BB3A32" w:rsidRDefault="00F57558">
            <w:pPr>
              <w:spacing w:before="40" w:after="96"/>
              <w:ind w:left="34"/>
              <w:rPr>
                <w:highlight w:val="white"/>
                <w:lang w:val="nl-NL"/>
              </w:rPr>
            </w:pPr>
            <w:r>
              <w:rPr>
                <w:sz w:val="27"/>
                <w:szCs w:val="27"/>
                <w:lang w:val="nl"/>
              </w:rPr>
              <w:t>Kritisch kunnen denken, feedback kunnen geven en ontvangen en disruptief gedrag kunnen aanpassen.</w:t>
            </w:r>
          </w:p>
        </w:tc>
        <w:tc>
          <w:tcPr>
            <w:tcW w:w="1990" w:type="dxa"/>
          </w:tcPr>
          <w:p w14:paraId="5466CD36" w14:textId="77777777" w:rsidR="004519DE" w:rsidRPr="00BB3A32" w:rsidRDefault="00F57558">
            <w:pPr>
              <w:spacing w:before="40" w:after="96"/>
              <w:rPr>
                <w:sz w:val="27"/>
                <w:szCs w:val="27"/>
                <w:lang w:val="nl-NL"/>
              </w:rPr>
            </w:pPr>
            <w:r>
              <w:rPr>
                <w:sz w:val="27"/>
                <w:szCs w:val="27"/>
                <w:lang w:val="nl"/>
              </w:rPr>
              <w:t>Het begrijpen en accepteren van gediversifieerde standpunten.</w:t>
            </w:r>
          </w:p>
          <w:p w14:paraId="06DB7F4A" w14:textId="77777777" w:rsidR="004519DE" w:rsidRPr="00BB3A32" w:rsidRDefault="004519DE">
            <w:pPr>
              <w:spacing w:before="40" w:after="96"/>
              <w:rPr>
                <w:sz w:val="27"/>
                <w:szCs w:val="27"/>
                <w:lang w:val="nl-NL"/>
              </w:rPr>
            </w:pPr>
          </w:p>
        </w:tc>
      </w:tr>
    </w:tbl>
    <w:p w14:paraId="2C758158" w14:textId="77777777" w:rsidR="004519DE" w:rsidRPr="00BB3A32" w:rsidRDefault="004519DE">
      <w:pPr>
        <w:widowControl w:val="0"/>
        <w:spacing w:before="0" w:after="0"/>
        <w:rPr>
          <w:rFonts w:ascii="Arial" w:eastAsia="Arial" w:hAnsi="Arial" w:cs="Arial"/>
          <w:sz w:val="22"/>
          <w:szCs w:val="22"/>
          <w:lang w:val="nl-NL"/>
        </w:rPr>
      </w:pPr>
    </w:p>
    <w:tbl>
      <w:tblPr>
        <w:tblStyle w:val="Table3"/>
        <w:tblW w:w="9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284"/>
        <w:gridCol w:w="2175"/>
        <w:gridCol w:w="2127"/>
        <w:gridCol w:w="1990"/>
      </w:tblGrid>
      <w:tr w:rsidR="004519DE" w14:paraId="754090FC" w14:textId="77777777">
        <w:tc>
          <w:tcPr>
            <w:tcW w:w="524" w:type="dxa"/>
          </w:tcPr>
          <w:p w14:paraId="32EFD041" w14:textId="77777777" w:rsidR="004519DE" w:rsidRDefault="00F57558">
            <w:pPr>
              <w:spacing w:before="96" w:after="96"/>
              <w:rPr>
                <w:b/>
              </w:rPr>
            </w:pPr>
            <w:r>
              <w:rPr>
                <w:b/>
                <w:lang w:val="nl"/>
              </w:rPr>
              <w:t>1.3</w:t>
            </w:r>
          </w:p>
        </w:tc>
        <w:tc>
          <w:tcPr>
            <w:tcW w:w="2284" w:type="dxa"/>
          </w:tcPr>
          <w:p w14:paraId="35152BCD" w14:textId="77777777" w:rsidR="004519DE" w:rsidRDefault="00F57558">
            <w:pPr>
              <w:spacing w:before="96" w:after="96"/>
              <w:rPr>
                <w:u w:val="single"/>
              </w:rPr>
            </w:pPr>
            <w:r>
              <w:rPr>
                <w:u w:val="single"/>
                <w:lang w:val="nl"/>
              </w:rPr>
              <w:t>Faciliteer empathie en tolerantie</w:t>
            </w:r>
          </w:p>
          <w:p w14:paraId="083E1751" w14:textId="77777777" w:rsidR="004519DE" w:rsidRDefault="004519DE">
            <w:pPr>
              <w:spacing w:before="96"/>
              <w:ind w:left="720"/>
              <w:rPr>
                <w:sz w:val="24"/>
                <w:szCs w:val="24"/>
              </w:rPr>
            </w:pPr>
          </w:p>
          <w:p w14:paraId="5111289C" w14:textId="77777777" w:rsidR="004519DE" w:rsidRDefault="00F57558">
            <w:pPr>
              <w:numPr>
                <w:ilvl w:val="0"/>
                <w:numId w:val="1"/>
              </w:numPr>
              <w:spacing w:before="0" w:after="96"/>
            </w:pPr>
            <w:r>
              <w:rPr>
                <w:sz w:val="24"/>
                <w:szCs w:val="24"/>
                <w:lang w:val="nl"/>
              </w:rPr>
              <w:t>Begrijp de gevolgen van haatzaaien</w:t>
            </w:r>
          </w:p>
          <w:p w14:paraId="1A4FCCA1" w14:textId="77777777" w:rsidR="004519DE" w:rsidRDefault="00F57558">
            <w:pPr>
              <w:numPr>
                <w:ilvl w:val="0"/>
                <w:numId w:val="1"/>
              </w:numPr>
              <w:spacing w:before="0" w:after="96"/>
            </w:pPr>
            <w:r>
              <w:rPr>
                <w:sz w:val="24"/>
                <w:szCs w:val="24"/>
                <w:lang w:val="nl"/>
              </w:rPr>
              <w:t>Bewustwording over kansenongelijkheid</w:t>
            </w:r>
          </w:p>
          <w:p w14:paraId="0269FBCF" w14:textId="77777777" w:rsidR="004519DE" w:rsidRDefault="00F57558">
            <w:pPr>
              <w:numPr>
                <w:ilvl w:val="0"/>
                <w:numId w:val="1"/>
              </w:numPr>
              <w:spacing w:before="0" w:after="96"/>
            </w:pPr>
            <w:r>
              <w:rPr>
                <w:sz w:val="24"/>
                <w:szCs w:val="24"/>
                <w:lang w:val="nl"/>
              </w:rPr>
              <w:t>Stimuleer empathie</w:t>
            </w:r>
          </w:p>
          <w:p w14:paraId="36EDD3F8" w14:textId="77777777" w:rsidR="004519DE" w:rsidRDefault="004519DE">
            <w:pPr>
              <w:spacing w:before="0" w:after="96"/>
              <w:rPr>
                <w:sz w:val="24"/>
                <w:szCs w:val="24"/>
              </w:rPr>
            </w:pPr>
          </w:p>
          <w:p w14:paraId="5CE9AB88" w14:textId="77777777" w:rsidR="004519DE" w:rsidRPr="00BB3A32" w:rsidRDefault="00F57558">
            <w:pP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Gerelateerde activiteiten: -Neem een stap vooruit (gedetailleerde sjabloon bijgevoegd)</w:t>
            </w:r>
          </w:p>
          <w:p w14:paraId="0B667A78" w14:textId="77777777" w:rsidR="004519DE" w:rsidRPr="00BB3A32" w:rsidRDefault="00F57558">
            <w:pP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lastRenderedPageBreak/>
              <w:t>- Stel je dit voor (gedetailleerde sjabloon bijgevoegd)</w:t>
            </w:r>
          </w:p>
          <w:p w14:paraId="7574FCF2" w14:textId="77777777" w:rsidR="004519DE" w:rsidRPr="00BB3A32" w:rsidRDefault="00F57558">
            <w:pPr>
              <w:spacing w:before="0" w:after="96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"/>
              </w:rPr>
              <w:t>- Attack and Avoid (gedetailleerde sjabloon bijgevoegd)</w:t>
            </w:r>
          </w:p>
        </w:tc>
        <w:tc>
          <w:tcPr>
            <w:tcW w:w="2175" w:type="dxa"/>
          </w:tcPr>
          <w:p w14:paraId="2418C853" w14:textId="77777777" w:rsidR="004519DE" w:rsidRPr="00BB3A32" w:rsidRDefault="00F57558">
            <w:pPr>
              <w:spacing w:before="96" w:after="96"/>
              <w:rPr>
                <w:lang w:val="nl-NL"/>
              </w:rPr>
            </w:pPr>
            <w:r>
              <w:rPr>
                <w:sz w:val="27"/>
                <w:szCs w:val="27"/>
                <w:lang w:val="nl"/>
              </w:rPr>
              <w:lastRenderedPageBreak/>
              <w:t>Toon kennis en begrip van de sociale ongelijkheden die sommige mensen gemakkelijker het doelwit maken van haatgedrag en onverdraagzaamheid.</w:t>
            </w:r>
          </w:p>
        </w:tc>
        <w:tc>
          <w:tcPr>
            <w:tcW w:w="2127" w:type="dxa"/>
          </w:tcPr>
          <w:p w14:paraId="65C9EE18" w14:textId="77777777" w:rsidR="004519DE" w:rsidRPr="00BB3A32" w:rsidRDefault="00F57558">
            <w:pPr>
              <w:spacing w:before="40" w:after="96"/>
              <w:ind w:left="34"/>
              <w:rPr>
                <w:highlight w:val="white"/>
                <w:lang w:val="nl-NL"/>
              </w:rPr>
            </w:pPr>
            <w:r>
              <w:rPr>
                <w:sz w:val="27"/>
                <w:szCs w:val="27"/>
                <w:lang w:val="nl"/>
              </w:rPr>
              <w:t>In staat zijn om na te denken over de effecten van sociale ongelijkheden en de impact van haatzaaien en onverdraagzaamheid op gediscrimineerde mensen te begrijpen</w:t>
            </w:r>
          </w:p>
        </w:tc>
        <w:tc>
          <w:tcPr>
            <w:tcW w:w="1990" w:type="dxa"/>
          </w:tcPr>
          <w:p w14:paraId="0EBFF5AC" w14:textId="77777777" w:rsidR="004519DE" w:rsidRDefault="00F57558">
            <w:pPr>
              <w:spacing w:before="40" w:after="96"/>
              <w:rPr>
                <w:highlight w:val="white"/>
              </w:rPr>
            </w:pPr>
            <w:r>
              <w:rPr>
                <w:sz w:val="27"/>
                <w:szCs w:val="27"/>
                <w:lang w:val="nl"/>
              </w:rPr>
              <w:t>Empathische relationele benadering.</w:t>
            </w:r>
          </w:p>
        </w:tc>
      </w:tr>
    </w:tbl>
    <w:p w14:paraId="49071B04" w14:textId="473165B6" w:rsidR="004519DE" w:rsidRDefault="004519DE"/>
    <w:sectPr w:rsidR="004519D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DB9E3" w14:textId="77777777" w:rsidR="007B5162" w:rsidRDefault="007B5162">
      <w:pPr>
        <w:spacing w:before="0" w:after="0" w:line="240" w:lineRule="auto"/>
      </w:pPr>
      <w:r>
        <w:rPr>
          <w:lang w:val="nl"/>
        </w:rPr>
        <w:separator/>
      </w:r>
    </w:p>
  </w:endnote>
  <w:endnote w:type="continuationSeparator" w:id="0">
    <w:p w14:paraId="2739E27E" w14:textId="77777777" w:rsidR="007B5162" w:rsidRDefault="007B5162">
      <w:pPr>
        <w:spacing w:before="0" w:after="0" w:line="240" w:lineRule="auto"/>
      </w:pPr>
      <w:r>
        <w:rPr>
          <w:lang w:val="n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A24FE" w14:textId="50FD6D76" w:rsidR="004519DE" w:rsidRPr="00BB3A32" w:rsidRDefault="00C30E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lang w:val="nl-NL"/>
      </w:rPr>
    </w:pPr>
    <w:r>
      <w:rPr>
        <w:noProof/>
        <w:color w:val="000000"/>
        <w:lang w:val="nl-NL"/>
      </w:rPr>
      <w:drawing>
        <wp:anchor distT="0" distB="0" distL="114300" distR="114300" simplePos="0" relativeHeight="251661312" behindDoc="1" locked="0" layoutInCell="1" allowOverlap="1" wp14:anchorId="255D2109" wp14:editId="4DCE047B">
          <wp:simplePos x="0" y="0"/>
          <wp:positionH relativeFrom="column">
            <wp:posOffset>0</wp:posOffset>
          </wp:positionH>
          <wp:positionV relativeFrom="paragraph">
            <wp:posOffset>-214630</wp:posOffset>
          </wp:positionV>
          <wp:extent cx="5943600" cy="978535"/>
          <wp:effectExtent l="0" t="0" r="0" b="0"/>
          <wp:wrapNone/>
          <wp:docPr id="3" name="Picture 3" descr="A close up of a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messa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78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CD6F0" w14:textId="77777777" w:rsidR="007B5162" w:rsidRDefault="007B5162">
      <w:pPr>
        <w:spacing w:after="0" w:line="240" w:lineRule="auto"/>
      </w:pPr>
      <w:r>
        <w:rPr>
          <w:lang w:val="nl"/>
        </w:rPr>
        <w:separator/>
      </w:r>
    </w:p>
  </w:footnote>
  <w:footnote w:type="continuationSeparator" w:id="0">
    <w:p w14:paraId="57CFEA1A" w14:textId="77777777" w:rsidR="007B5162" w:rsidRDefault="007B5162">
      <w:pPr>
        <w:spacing w:after="0" w:line="240" w:lineRule="auto"/>
      </w:pPr>
      <w:r>
        <w:rPr>
          <w:lang w:val="nl"/>
        </w:rPr>
        <w:continuationSeparator/>
      </w:r>
    </w:p>
  </w:footnote>
  <w:footnote w:id="1">
    <w:p w14:paraId="2F5BBA63" w14:textId="77777777" w:rsidR="004519DE" w:rsidRPr="00BB3A32" w:rsidRDefault="00F57558">
      <w:pPr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0"/>
          <w:szCs w:val="20"/>
          <w:lang w:val="nl-NL"/>
        </w:rPr>
      </w:pPr>
      <w:r>
        <w:rPr>
          <w:rStyle w:val="FootnoteReference"/>
          <w:lang w:val="nl"/>
        </w:rPr>
        <w:footnoteRef/>
      </w:r>
      <w:r>
        <w:rPr>
          <w:color w:val="000000"/>
          <w:sz w:val="20"/>
          <w:szCs w:val="20"/>
          <w:lang w:val="nl"/>
        </w:rPr>
        <w:t xml:space="preserve"> Definitie van kennis, vaardigheden en attitudes volgens het Europees referentiekader voor sleutelcompetenties voor een leven lang leren: </w:t>
      </w:r>
      <w:hyperlink r:id="rId1" w:history="1">
        <w:r>
          <w:rPr>
            <w:color w:val="0563C1"/>
            <w:sz w:val="20"/>
            <w:szCs w:val="20"/>
            <w:u w:val="single"/>
            <w:lang w:val="nl"/>
          </w:rPr>
          <w:t>https://eur-lex.europa.eu/legal-content/NL/TXT/PDF/?uri=CELEX:32018H0604(01)&amp;rid=7</w:t>
        </w:r>
      </w:hyperlink>
      <w:r>
        <w:rPr>
          <w:color w:val="000000"/>
          <w:sz w:val="20"/>
          <w:szCs w:val="20"/>
          <w:lang w:val="nl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7837D" w14:textId="546FAB64" w:rsidR="004519DE" w:rsidRDefault="00F6200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60288" behindDoc="1" locked="0" layoutInCell="1" allowOverlap="1" wp14:anchorId="5B0F01FB" wp14:editId="56466CB4">
          <wp:simplePos x="0" y="0"/>
          <wp:positionH relativeFrom="column">
            <wp:posOffset>4457700</wp:posOffset>
          </wp:positionH>
          <wp:positionV relativeFrom="paragraph">
            <wp:posOffset>0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</w:rPr>
      <w:drawing>
        <wp:anchor distT="0" distB="0" distL="114300" distR="114300" simplePos="0" relativeHeight="251659264" behindDoc="1" locked="0" layoutInCell="1" allowOverlap="1" wp14:anchorId="11B13653" wp14:editId="1BA140F5">
          <wp:simplePos x="0" y="0"/>
          <wp:positionH relativeFrom="column">
            <wp:posOffset>-787400</wp:posOffset>
          </wp:positionH>
          <wp:positionV relativeFrom="paragraph">
            <wp:posOffset>-317500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EC0955" w14:textId="77777777" w:rsidR="004519DE" w:rsidRDefault="004519D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5D2EE130" w14:textId="77777777" w:rsidR="004519DE" w:rsidRDefault="004519D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7DF1EF"/>
    <w:multiLevelType w:val="hybridMultilevel"/>
    <w:tmpl w:val="00000000"/>
    <w:lvl w:ilvl="0" w:tplc="67C0D25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 w:tplc="4E5A48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88AED2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12CC716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80129F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6704A1A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DF240AD2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56963D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690FAD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9DE"/>
    <w:rsid w:val="0020695D"/>
    <w:rsid w:val="00433F83"/>
    <w:rsid w:val="004519DE"/>
    <w:rsid w:val="007B5162"/>
    <w:rsid w:val="00BB3A32"/>
    <w:rsid w:val="00C30E6E"/>
    <w:rsid w:val="00C33D67"/>
    <w:rsid w:val="00F57558"/>
    <w:rsid w:val="00F6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22D42"/>
  <w15:docId w15:val="{3CAF972E-56D3-EB4D-BFF0-9EF3D57D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GB" w:eastAsia="en-US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0"/>
    <w:next w:val="Normal0"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0"/>
    <w:next w:val="Normal0"/>
    <w:pPr>
      <w:keepNext/>
      <w:keepLines/>
      <w:spacing w:before="480"/>
    </w:pPr>
    <w:rPr>
      <w:b/>
      <w:sz w:val="72"/>
      <w:szCs w:val="72"/>
    </w:rPr>
  </w:style>
  <w:style w:type="paragraph" w:customStyle="1" w:styleId="Normal0">
    <w:name w:val="Normal_0"/>
    <w:qFormat/>
    <w:rsid w:val="004362DD"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0"/>
    <w:link w:val="HeaderChar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718"/>
  </w:style>
  <w:style w:type="paragraph" w:styleId="Footer">
    <w:name w:val="footer"/>
    <w:basedOn w:val="Normal0"/>
    <w:link w:val="FooterChar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718"/>
  </w:style>
  <w:style w:type="character" w:styleId="Hyperlink">
    <w:name w:val="Hyperlink"/>
    <w:basedOn w:val="DefaultParagraphFont"/>
    <w:uiPriority w:val="99"/>
    <w:unhideWhenUsed/>
    <w:rsid w:val="004362DD"/>
    <w:rPr>
      <w:color w:val="0563C1" w:themeColor="hyperlink"/>
      <w:u w:val="single"/>
    </w:rPr>
  </w:style>
  <w:style w:type="paragraph" w:styleId="FootnoteText">
    <w:name w:val="footnote text"/>
    <w:basedOn w:val="Normal0"/>
    <w:link w:val="FootnoteTextChar"/>
    <w:uiPriority w:val="99"/>
    <w:unhideWhenUsed/>
    <w:rsid w:val="004362DD"/>
    <w:pPr>
      <w:spacing w:before="100" w:after="0" w:line="240" w:lineRule="auto"/>
    </w:pPr>
    <w:rPr>
      <w:rFonts w:eastAsiaTheme="minorEastAsia"/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362DD"/>
    <w:rPr>
      <w:rFonts w:eastAsiaTheme="minorEastAsia"/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4362DD"/>
    <w:rPr>
      <w:vertAlign w:val="superscript"/>
    </w:rPr>
  </w:style>
  <w:style w:type="paragraph" w:styleId="ListParagraph">
    <w:name w:val="List Paragraph"/>
    <w:basedOn w:val="Normal0"/>
    <w:uiPriority w:val="34"/>
    <w:qFormat/>
    <w:rsid w:val="004362D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table" w:styleId="TableGrid">
    <w:name w:val="Table Grid"/>
    <w:basedOn w:val="TableNormal0"/>
    <w:uiPriority w:val="39"/>
    <w:rsid w:val="004362DD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0"/>
    <w:uiPriority w:val="99"/>
    <w:semiHidden/>
    <w:unhideWhenUsed/>
    <w:rsid w:val="003A4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GB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1">
    <w:name w:val="Table1"/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Table2">
    <w:name w:val="Table2"/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Table3">
    <w:name w:val="Table3"/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character" w:styleId="PlaceholderText">
    <w:name w:val="Placeholder Text"/>
    <w:basedOn w:val="DefaultParagraphFont"/>
    <w:uiPriority w:val="99"/>
    <w:semiHidden/>
    <w:rsid w:val="00BB3A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RR4nvEVMWE2bn16DDe3W+05rCw==">AMUW2mU/LkjOe5wdAbre1ZGPzFIHqC2OW5FYPQ0IzwKfBHIyv4+rVgc8i5XpNhD8X84xrbEwdHhu1jDevQJYLmd5TiKPXjhrbhca/6I8qmZiXq21f95eC74=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Andry Moustras</cp:lastModifiedBy>
  <cp:revision>3</cp:revision>
  <dcterms:created xsi:type="dcterms:W3CDTF">2022-01-18T16:31:00Z</dcterms:created>
  <dcterms:modified xsi:type="dcterms:W3CDTF">2023-07-26T14:37:00Z</dcterms:modified>
  <cp:category/>
</cp:coreProperties>
</file>