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D5C309" w14:textId="6B712E5A" w:rsidR="00DB3C54" w:rsidRDefault="00DB3C54">
      <w:pPr>
        <w:widowControl w:val="0"/>
        <w:pBdr>
          <w:top w:val="nil"/>
          <w:left w:val="nil"/>
          <w:bottom w:val="nil"/>
          <w:right w:val="nil"/>
          <w:between w:val="nil"/>
        </w:pBdr>
        <w:spacing w:before="0" w:after="0"/>
        <w:rPr>
          <w:color w:val="000000"/>
        </w:rPr>
      </w:pPr>
    </w:p>
    <w:tbl>
      <w:tblPr>
        <w:tblStyle w:val="a"/>
        <w:tblW w:w="93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4"/>
        <w:gridCol w:w="2819"/>
        <w:gridCol w:w="2097"/>
        <w:gridCol w:w="2038"/>
        <w:gridCol w:w="1872"/>
      </w:tblGrid>
      <w:tr w:rsidR="00DB3C54" w14:paraId="341F31A7" w14:textId="77777777">
        <w:trPr>
          <w:trHeight w:val="547"/>
        </w:trPr>
        <w:tc>
          <w:tcPr>
            <w:tcW w:w="524" w:type="dxa"/>
            <w:vMerge w:val="restart"/>
          </w:tcPr>
          <w:p w14:paraId="6BA82EF9" w14:textId="77777777" w:rsidR="00DB3C54" w:rsidRDefault="00DB3C54">
            <w:pPr>
              <w:spacing w:before="96" w:after="96"/>
              <w:rPr>
                <w:b/>
                <w:szCs w:val="24"/>
              </w:rPr>
            </w:pPr>
          </w:p>
        </w:tc>
        <w:tc>
          <w:tcPr>
            <w:tcW w:w="2819" w:type="dxa"/>
            <w:vMerge w:val="restart"/>
          </w:tcPr>
          <w:p w14:paraId="2E1EE638" w14:textId="77777777" w:rsidR="00DB3C54" w:rsidRDefault="00BF0AAD">
            <w:pPr>
              <w:spacing w:before="96" w:after="96"/>
              <w:rPr>
                <w:b/>
                <w:szCs w:val="24"/>
              </w:rPr>
            </w:pPr>
            <w:r>
              <w:rPr>
                <w:b/>
                <w:szCs w:val="24"/>
                <w:lang w:val="nl"/>
              </w:rPr>
              <w:t>Module/Eenheid</w:t>
            </w:r>
          </w:p>
        </w:tc>
        <w:tc>
          <w:tcPr>
            <w:tcW w:w="6007" w:type="dxa"/>
            <w:gridSpan w:val="3"/>
          </w:tcPr>
          <w:p w14:paraId="7272AB36" w14:textId="77777777" w:rsidR="00DB3C54" w:rsidRDefault="00BF0AAD">
            <w:pPr>
              <w:spacing w:before="96" w:after="96"/>
              <w:jc w:val="center"/>
              <w:rPr>
                <w:b/>
                <w:szCs w:val="24"/>
              </w:rPr>
            </w:pPr>
            <w:r>
              <w:rPr>
                <w:b/>
                <w:szCs w:val="24"/>
                <w:lang w:val="nl"/>
              </w:rPr>
              <w:t>Leerdoelen</w:t>
            </w:r>
            <w:r>
              <w:rPr>
                <w:b/>
                <w:szCs w:val="24"/>
                <w:vertAlign w:val="superscript"/>
                <w:lang w:val="nl"/>
              </w:rPr>
              <w:footnoteReference w:id="1"/>
            </w:r>
          </w:p>
        </w:tc>
      </w:tr>
      <w:tr w:rsidR="00DB3C54" w14:paraId="56B8BDFC" w14:textId="77777777">
        <w:trPr>
          <w:trHeight w:val="555"/>
        </w:trPr>
        <w:tc>
          <w:tcPr>
            <w:tcW w:w="524" w:type="dxa"/>
            <w:vMerge/>
          </w:tcPr>
          <w:p w14:paraId="2BC09109" w14:textId="77777777" w:rsidR="00DB3C54" w:rsidRDefault="00DB3C54">
            <w:pPr>
              <w:widowControl w:val="0"/>
              <w:pBdr>
                <w:top w:val="nil"/>
                <w:left w:val="nil"/>
                <w:bottom w:val="nil"/>
                <w:right w:val="nil"/>
                <w:between w:val="nil"/>
              </w:pBdr>
              <w:spacing w:before="0"/>
              <w:rPr>
                <w:b/>
                <w:szCs w:val="24"/>
              </w:rPr>
            </w:pPr>
          </w:p>
        </w:tc>
        <w:tc>
          <w:tcPr>
            <w:tcW w:w="2819" w:type="dxa"/>
            <w:vMerge/>
          </w:tcPr>
          <w:p w14:paraId="1588D70C" w14:textId="77777777" w:rsidR="00DB3C54" w:rsidRDefault="00DB3C54">
            <w:pPr>
              <w:widowControl w:val="0"/>
              <w:pBdr>
                <w:top w:val="nil"/>
                <w:left w:val="nil"/>
                <w:bottom w:val="nil"/>
                <w:right w:val="nil"/>
                <w:between w:val="nil"/>
              </w:pBdr>
              <w:spacing w:before="0"/>
              <w:rPr>
                <w:b/>
                <w:szCs w:val="24"/>
              </w:rPr>
            </w:pPr>
          </w:p>
        </w:tc>
        <w:tc>
          <w:tcPr>
            <w:tcW w:w="2097" w:type="dxa"/>
          </w:tcPr>
          <w:p w14:paraId="3DAE937E" w14:textId="77777777" w:rsidR="00DB3C54" w:rsidRDefault="00BF0AAD">
            <w:pPr>
              <w:spacing w:before="96" w:after="96"/>
              <w:rPr>
                <w:b/>
                <w:szCs w:val="24"/>
              </w:rPr>
            </w:pPr>
            <w:r>
              <w:rPr>
                <w:b/>
                <w:szCs w:val="24"/>
                <w:lang w:val="nl"/>
              </w:rPr>
              <w:t>Kennis</w:t>
            </w:r>
          </w:p>
        </w:tc>
        <w:tc>
          <w:tcPr>
            <w:tcW w:w="2038" w:type="dxa"/>
          </w:tcPr>
          <w:p w14:paraId="6D5D2216" w14:textId="77777777" w:rsidR="00DB3C54" w:rsidRDefault="00BF0AAD">
            <w:pPr>
              <w:spacing w:before="96" w:after="96"/>
              <w:rPr>
                <w:b/>
                <w:szCs w:val="24"/>
              </w:rPr>
            </w:pPr>
            <w:r>
              <w:rPr>
                <w:b/>
                <w:szCs w:val="24"/>
                <w:lang w:val="nl"/>
              </w:rPr>
              <w:t>Vaardigheden</w:t>
            </w:r>
          </w:p>
        </w:tc>
        <w:tc>
          <w:tcPr>
            <w:tcW w:w="1872" w:type="dxa"/>
          </w:tcPr>
          <w:p w14:paraId="28F1939D" w14:textId="77777777" w:rsidR="00DB3C54" w:rsidRDefault="00BF0AAD">
            <w:pPr>
              <w:spacing w:before="96" w:after="96"/>
              <w:rPr>
                <w:b/>
                <w:szCs w:val="24"/>
              </w:rPr>
            </w:pPr>
            <w:r>
              <w:rPr>
                <w:b/>
                <w:szCs w:val="24"/>
                <w:lang w:val="nl"/>
              </w:rPr>
              <w:t>Houding</w:t>
            </w:r>
          </w:p>
        </w:tc>
      </w:tr>
      <w:tr w:rsidR="00DB3C54" w:rsidRPr="002A2011" w14:paraId="39012FB3" w14:textId="77777777">
        <w:tc>
          <w:tcPr>
            <w:tcW w:w="524" w:type="dxa"/>
          </w:tcPr>
          <w:p w14:paraId="085D3F1F" w14:textId="41498A52" w:rsidR="00DB3C54" w:rsidRDefault="009477D5">
            <w:pPr>
              <w:spacing w:before="96" w:after="96"/>
              <w:rPr>
                <w:b/>
                <w:szCs w:val="24"/>
              </w:rPr>
            </w:pPr>
            <w:r>
              <w:rPr>
                <w:b/>
                <w:szCs w:val="24"/>
                <w:lang w:val="nl"/>
              </w:rPr>
              <w:t>2</w:t>
            </w:r>
          </w:p>
        </w:tc>
        <w:tc>
          <w:tcPr>
            <w:tcW w:w="2819" w:type="dxa"/>
          </w:tcPr>
          <w:p w14:paraId="7C4B422E" w14:textId="77777777" w:rsidR="00DB3C54" w:rsidRPr="002A2011" w:rsidRDefault="00BF0AAD">
            <w:pPr>
              <w:spacing w:before="96" w:after="96"/>
              <w:rPr>
                <w:b/>
                <w:szCs w:val="24"/>
                <w:lang w:val="nl-NL"/>
              </w:rPr>
            </w:pPr>
            <w:r>
              <w:rPr>
                <w:b/>
                <w:szCs w:val="24"/>
                <w:lang w:val="nl"/>
              </w:rPr>
              <w:t>Titel van de module</w:t>
            </w:r>
          </w:p>
          <w:p w14:paraId="6E36C835" w14:textId="77777777" w:rsidR="00DB3C54" w:rsidRDefault="00BF0AAD">
            <w:pPr>
              <w:spacing w:before="96" w:after="96"/>
              <w:rPr>
                <w:szCs w:val="24"/>
              </w:rPr>
            </w:pPr>
            <w:r>
              <w:rPr>
                <w:szCs w:val="24"/>
                <w:lang w:val="nl"/>
              </w:rPr>
              <w:t>Kijken naar negatieve versterkingen van stereotypen en hoe deze te bestrijden. Waarom haten/ aanvallen we?</w:t>
            </w:r>
          </w:p>
        </w:tc>
        <w:tc>
          <w:tcPr>
            <w:tcW w:w="2097" w:type="dxa"/>
          </w:tcPr>
          <w:p w14:paraId="46AB8FDE" w14:textId="77777777" w:rsidR="00DB3C54" w:rsidRPr="002A2011" w:rsidRDefault="00BF0AAD">
            <w:pPr>
              <w:spacing w:before="96" w:after="96"/>
              <w:rPr>
                <w:szCs w:val="24"/>
                <w:lang w:val="nl-NL"/>
              </w:rPr>
            </w:pPr>
            <w:r>
              <w:rPr>
                <w:szCs w:val="24"/>
                <w:lang w:val="nl"/>
              </w:rPr>
              <w:t>Aan het einde van de module moeten deelnemers in staat  zijn om</w:t>
            </w:r>
          </w:p>
          <w:p w14:paraId="3EBAFFCE" w14:textId="77777777" w:rsidR="00DB3C54" w:rsidRPr="002A2011" w:rsidRDefault="00BF0AAD">
            <w:pPr>
              <w:spacing w:before="96" w:after="96"/>
              <w:rPr>
                <w:szCs w:val="24"/>
                <w:lang w:val="nl-NL"/>
              </w:rPr>
            </w:pPr>
            <w:r>
              <w:rPr>
                <w:szCs w:val="24"/>
                <w:lang w:val="nl"/>
              </w:rPr>
              <w:t>stereotypen en</w:t>
            </w:r>
          </w:p>
          <w:p w14:paraId="26F4589B" w14:textId="77777777" w:rsidR="00DB3C54" w:rsidRPr="002A2011" w:rsidRDefault="00BF0AAD">
            <w:pPr>
              <w:spacing w:before="96" w:after="96"/>
              <w:rPr>
                <w:sz w:val="28"/>
                <w:szCs w:val="28"/>
                <w:lang w:val="nl-NL"/>
              </w:rPr>
            </w:pPr>
            <w:r>
              <w:rPr>
                <w:szCs w:val="24"/>
                <w:lang w:val="nl"/>
              </w:rPr>
              <w:t>welke gedragingen bijdragen aan hun negatieve bekrachtiging.</w:t>
            </w:r>
          </w:p>
        </w:tc>
        <w:tc>
          <w:tcPr>
            <w:tcW w:w="2038" w:type="dxa"/>
          </w:tcPr>
          <w:p w14:paraId="06F7F2D3" w14:textId="77777777" w:rsidR="00DB3C54" w:rsidRPr="002A2011" w:rsidRDefault="00BF0AAD">
            <w:pPr>
              <w:spacing w:before="96" w:after="96"/>
              <w:rPr>
                <w:sz w:val="28"/>
                <w:szCs w:val="28"/>
                <w:lang w:val="nl-NL"/>
              </w:rPr>
            </w:pPr>
            <w:r>
              <w:rPr>
                <w:szCs w:val="24"/>
                <w:lang w:val="nl"/>
              </w:rPr>
              <w:t>Aan het einde van de module moeten deelnemers kunnen nadenken over hoe haatzaaien het leven van mensen beïnvloedt en hoe ze daartegen kunnen optreden.</w:t>
            </w:r>
          </w:p>
        </w:tc>
        <w:tc>
          <w:tcPr>
            <w:tcW w:w="1872" w:type="dxa"/>
          </w:tcPr>
          <w:p w14:paraId="712B4B30" w14:textId="77777777" w:rsidR="00DB3C54" w:rsidRPr="002A2011" w:rsidRDefault="00BF0AAD">
            <w:pPr>
              <w:spacing w:before="96" w:after="96"/>
              <w:rPr>
                <w:szCs w:val="24"/>
                <w:lang w:val="nl-NL"/>
              </w:rPr>
            </w:pPr>
            <w:r>
              <w:rPr>
                <w:szCs w:val="24"/>
                <w:lang w:val="nl"/>
              </w:rPr>
              <w:t>De module is gericht op het cultiveren van de volgende attitudes:</w:t>
            </w:r>
          </w:p>
          <w:p w14:paraId="24F055AB" w14:textId="77777777" w:rsidR="00DB3C54" w:rsidRPr="002A2011" w:rsidRDefault="00BF0AAD">
            <w:pPr>
              <w:spacing w:before="96" w:after="96"/>
              <w:rPr>
                <w:szCs w:val="24"/>
                <w:lang w:val="nl-NL"/>
              </w:rPr>
            </w:pPr>
            <w:r>
              <w:rPr>
                <w:szCs w:val="24"/>
                <w:lang w:val="nl"/>
              </w:rPr>
              <w:t xml:space="preserve">Vergroot empathie en respect voor diversiteit. </w:t>
            </w:r>
          </w:p>
          <w:p w14:paraId="331343E2" w14:textId="77777777" w:rsidR="00DB3C54" w:rsidRPr="002A2011" w:rsidRDefault="00BF0AAD">
            <w:pPr>
              <w:spacing w:before="96" w:after="96"/>
              <w:rPr>
                <w:szCs w:val="24"/>
                <w:lang w:val="nl-NL"/>
              </w:rPr>
            </w:pPr>
            <w:r>
              <w:rPr>
                <w:szCs w:val="24"/>
                <w:lang w:val="nl"/>
              </w:rPr>
              <w:t>Neem een groeimindset aan en reflecteer op onze ervaring en die van anderen.</w:t>
            </w:r>
          </w:p>
          <w:p w14:paraId="052008E0" w14:textId="77777777" w:rsidR="00DB3C54" w:rsidRPr="002A2011" w:rsidRDefault="00BF0AAD">
            <w:pPr>
              <w:spacing w:before="96" w:after="96"/>
              <w:rPr>
                <w:szCs w:val="24"/>
                <w:lang w:val="nl-NL"/>
              </w:rPr>
            </w:pPr>
            <w:r>
              <w:rPr>
                <w:szCs w:val="24"/>
                <w:lang w:val="nl"/>
              </w:rPr>
              <w:t>Zie bevooroordeelde gebeurtenissen onder ogen door kritisch te denken.</w:t>
            </w:r>
          </w:p>
        </w:tc>
      </w:tr>
      <w:tr w:rsidR="00DB3C54" w:rsidRPr="002A2011" w14:paraId="1267C7E6" w14:textId="77777777">
        <w:tc>
          <w:tcPr>
            <w:tcW w:w="524" w:type="dxa"/>
          </w:tcPr>
          <w:p w14:paraId="7D8FB3F3" w14:textId="328AFDFD" w:rsidR="00DB3C54" w:rsidRDefault="00BF0AAD">
            <w:pPr>
              <w:spacing w:before="96" w:after="96"/>
              <w:rPr>
                <w:b/>
                <w:szCs w:val="24"/>
              </w:rPr>
            </w:pPr>
            <w:r>
              <w:rPr>
                <w:b/>
                <w:szCs w:val="24"/>
                <w:lang w:val="nl"/>
              </w:rPr>
              <w:t>2.1</w:t>
            </w:r>
          </w:p>
        </w:tc>
        <w:tc>
          <w:tcPr>
            <w:tcW w:w="2819" w:type="dxa"/>
          </w:tcPr>
          <w:p w14:paraId="0CF76DE3" w14:textId="77777777" w:rsidR="00DB3C54" w:rsidRDefault="00BF0AAD">
            <w:pPr>
              <w:spacing w:before="96" w:after="96"/>
              <w:rPr>
                <w:szCs w:val="24"/>
                <w:u w:val="single"/>
              </w:rPr>
            </w:pPr>
            <w:r>
              <w:rPr>
                <w:szCs w:val="24"/>
                <w:u w:val="single"/>
                <w:lang w:val="nl"/>
              </w:rPr>
              <w:t>Door je bril</w:t>
            </w:r>
          </w:p>
          <w:p w14:paraId="0B3F53A4" w14:textId="77777777" w:rsidR="00DB3C54" w:rsidRPr="002A2011" w:rsidRDefault="00BF0AAD">
            <w:pPr>
              <w:numPr>
                <w:ilvl w:val="0"/>
                <w:numId w:val="5"/>
              </w:numPr>
              <w:pBdr>
                <w:top w:val="nil"/>
                <w:left w:val="nil"/>
                <w:bottom w:val="nil"/>
                <w:right w:val="nil"/>
                <w:between w:val="nil"/>
              </w:pBdr>
              <w:spacing w:before="96"/>
              <w:rPr>
                <w:color w:val="000000"/>
                <w:szCs w:val="24"/>
                <w:lang w:val="nl-NL"/>
              </w:rPr>
            </w:pPr>
            <w:r>
              <w:rPr>
                <w:color w:val="000000"/>
                <w:szCs w:val="24"/>
                <w:lang w:val="nl"/>
              </w:rPr>
              <w:t>Herken stereotypen in ons dagelijks leven</w:t>
            </w:r>
          </w:p>
          <w:p w14:paraId="17787A92" w14:textId="77777777" w:rsidR="00DB3C54" w:rsidRPr="002A2011" w:rsidRDefault="00DB3C54">
            <w:pPr>
              <w:pBdr>
                <w:top w:val="nil"/>
                <w:left w:val="nil"/>
                <w:bottom w:val="nil"/>
                <w:right w:val="nil"/>
                <w:between w:val="nil"/>
              </w:pBdr>
              <w:spacing w:before="0"/>
              <w:ind w:left="720"/>
              <w:rPr>
                <w:color w:val="000000"/>
                <w:szCs w:val="24"/>
                <w:lang w:val="nl-NL"/>
              </w:rPr>
            </w:pPr>
          </w:p>
          <w:p w14:paraId="0402EB2A" w14:textId="77777777" w:rsidR="00DB3C54" w:rsidRPr="002A2011" w:rsidRDefault="00BF0AAD">
            <w:pPr>
              <w:numPr>
                <w:ilvl w:val="0"/>
                <w:numId w:val="5"/>
              </w:numPr>
              <w:pBdr>
                <w:top w:val="nil"/>
                <w:left w:val="nil"/>
                <w:bottom w:val="nil"/>
                <w:right w:val="nil"/>
                <w:between w:val="nil"/>
              </w:pBdr>
              <w:spacing w:before="0" w:after="96"/>
              <w:rPr>
                <w:color w:val="000000"/>
                <w:szCs w:val="24"/>
                <w:lang w:val="nl-NL"/>
              </w:rPr>
            </w:pPr>
            <w:r>
              <w:rPr>
                <w:color w:val="000000"/>
                <w:szCs w:val="24"/>
                <w:lang w:val="nl"/>
              </w:rPr>
              <w:t>Bewustmaking van de ongelijkheden in de samenleving</w:t>
            </w:r>
          </w:p>
          <w:p w14:paraId="7F045F9A" w14:textId="77777777" w:rsidR="00DB3C54" w:rsidRPr="002A2011" w:rsidRDefault="00DB3C54">
            <w:pPr>
              <w:spacing w:before="96" w:after="96"/>
              <w:rPr>
                <w:szCs w:val="24"/>
                <w:lang w:val="nl-NL"/>
              </w:rPr>
            </w:pPr>
          </w:p>
          <w:p w14:paraId="65D4A3BC" w14:textId="77777777" w:rsidR="00DB3C54" w:rsidRPr="002A2011" w:rsidRDefault="00BF0AAD">
            <w:pPr>
              <w:numPr>
                <w:ilvl w:val="0"/>
                <w:numId w:val="5"/>
              </w:numPr>
              <w:pBdr>
                <w:top w:val="nil"/>
                <w:left w:val="nil"/>
                <w:bottom w:val="nil"/>
                <w:right w:val="nil"/>
                <w:between w:val="nil"/>
              </w:pBdr>
              <w:spacing w:before="96" w:after="96"/>
              <w:rPr>
                <w:color w:val="000000"/>
                <w:szCs w:val="24"/>
                <w:lang w:val="nl-NL"/>
              </w:rPr>
            </w:pPr>
            <w:r>
              <w:rPr>
                <w:color w:val="000000"/>
                <w:szCs w:val="24"/>
                <w:lang w:val="nl"/>
              </w:rPr>
              <w:t>Stimuleer solidariteit en motivatie om op te treden tegen stereotypen</w:t>
            </w:r>
          </w:p>
          <w:p w14:paraId="299A48D4" w14:textId="77777777" w:rsidR="00DB3C54" w:rsidRPr="002A2011" w:rsidRDefault="00DB3C54">
            <w:pPr>
              <w:spacing w:before="96" w:after="96"/>
              <w:rPr>
                <w:szCs w:val="24"/>
                <w:lang w:val="nl-NL"/>
              </w:rPr>
            </w:pPr>
          </w:p>
          <w:p w14:paraId="1EE8A537" w14:textId="77777777" w:rsidR="00DB3C54" w:rsidRDefault="00BF0AAD">
            <w:pPr>
              <w:spacing w:before="96" w:after="96"/>
              <w:rPr>
                <w:szCs w:val="24"/>
              </w:rPr>
            </w:pPr>
            <w:r>
              <w:rPr>
                <w:szCs w:val="24"/>
                <w:lang w:val="nl"/>
              </w:rPr>
              <w:t>Gerelateerde activiteiten:</w:t>
            </w:r>
          </w:p>
          <w:p w14:paraId="5E16EB4C" w14:textId="77777777" w:rsidR="00DB3C54" w:rsidRPr="002A2011" w:rsidRDefault="00BF0AAD">
            <w:pPr>
              <w:numPr>
                <w:ilvl w:val="0"/>
                <w:numId w:val="1"/>
              </w:numPr>
              <w:pBdr>
                <w:top w:val="nil"/>
                <w:left w:val="nil"/>
                <w:bottom w:val="nil"/>
                <w:right w:val="nil"/>
                <w:between w:val="nil"/>
              </w:pBdr>
              <w:spacing w:before="96"/>
              <w:rPr>
                <w:color w:val="000000"/>
                <w:szCs w:val="24"/>
                <w:lang w:val="nl-NL"/>
              </w:rPr>
            </w:pPr>
            <w:r>
              <w:rPr>
                <w:color w:val="000000"/>
                <w:szCs w:val="24"/>
                <w:lang w:val="nl"/>
              </w:rPr>
              <w:t>Stel je dit eens voor (gedetailleerde sjabloon bijgevoegd)</w:t>
            </w:r>
          </w:p>
          <w:p w14:paraId="304DA4EB" w14:textId="77777777" w:rsidR="00DB3C54" w:rsidRPr="002A2011" w:rsidRDefault="00BF0AAD">
            <w:pPr>
              <w:numPr>
                <w:ilvl w:val="0"/>
                <w:numId w:val="1"/>
              </w:numPr>
              <w:pBdr>
                <w:top w:val="nil"/>
                <w:left w:val="nil"/>
                <w:bottom w:val="nil"/>
                <w:right w:val="nil"/>
                <w:between w:val="nil"/>
              </w:pBdr>
              <w:spacing w:before="0"/>
              <w:rPr>
                <w:color w:val="000000"/>
                <w:szCs w:val="24"/>
                <w:lang w:val="nl-NL"/>
              </w:rPr>
            </w:pPr>
            <w:r>
              <w:rPr>
                <w:color w:val="000000"/>
                <w:szCs w:val="24"/>
                <w:lang w:val="nl"/>
              </w:rPr>
              <w:lastRenderedPageBreak/>
              <w:t>Verander uw bril (gedetailleerde sjabloon bijgevoegd)</w:t>
            </w:r>
          </w:p>
          <w:p w14:paraId="2DBC8AD6" w14:textId="77777777" w:rsidR="00DB3C54" w:rsidRPr="002A2011" w:rsidRDefault="00DB3C54">
            <w:pPr>
              <w:pBdr>
                <w:top w:val="nil"/>
                <w:left w:val="nil"/>
                <w:bottom w:val="nil"/>
                <w:right w:val="nil"/>
                <w:between w:val="nil"/>
              </w:pBdr>
              <w:spacing w:before="0" w:after="96"/>
              <w:ind w:left="720"/>
              <w:rPr>
                <w:color w:val="000000"/>
                <w:szCs w:val="24"/>
                <w:lang w:val="nl-NL"/>
              </w:rPr>
            </w:pPr>
          </w:p>
        </w:tc>
        <w:tc>
          <w:tcPr>
            <w:tcW w:w="2097" w:type="dxa"/>
          </w:tcPr>
          <w:p w14:paraId="352707D0" w14:textId="77777777" w:rsidR="00DB3C54" w:rsidRDefault="00BF0AAD">
            <w:pPr>
              <w:spacing w:before="96" w:after="96"/>
              <w:rPr>
                <w:szCs w:val="24"/>
              </w:rPr>
            </w:pPr>
            <w:r>
              <w:rPr>
                <w:szCs w:val="24"/>
                <w:lang w:val="nl"/>
              </w:rPr>
              <w:lastRenderedPageBreak/>
              <w:t>Krijg een beter begrip van systemisch racisme en discriminatie in al zijn vormen, bijvoorbeeld seksisme, racisme, economische discriminatie, homofobie en genderdiscriminatie, discriminatie in relatie tot religie. Om kennis en begrip van de wet te zoeken.</w:t>
            </w:r>
          </w:p>
        </w:tc>
        <w:tc>
          <w:tcPr>
            <w:tcW w:w="2038" w:type="dxa"/>
          </w:tcPr>
          <w:p w14:paraId="356388C3" w14:textId="77777777" w:rsidR="00DB3C54" w:rsidRPr="002A2011" w:rsidRDefault="00BF0AAD">
            <w:pPr>
              <w:spacing w:before="40" w:after="96"/>
              <w:ind w:left="34"/>
              <w:rPr>
                <w:szCs w:val="24"/>
                <w:highlight w:val="white"/>
                <w:lang w:val="nl-NL"/>
              </w:rPr>
            </w:pPr>
            <w:r>
              <w:rPr>
                <w:szCs w:val="24"/>
                <w:lang w:val="nl"/>
              </w:rPr>
              <w:t>Begrijpt activiteiten die deelnemers aanmoedigen om stereotypen in twijfel te trekken en uit te dagen en onze gemeenschappelijkheid en onze verschillen te herkennen. Creëert veilige activiteiten voor deelnemers om hun eigen ervaringen met discriminatie en / of haat te delen om empathie op te bouwen.</w:t>
            </w:r>
          </w:p>
        </w:tc>
        <w:tc>
          <w:tcPr>
            <w:tcW w:w="1872" w:type="dxa"/>
          </w:tcPr>
          <w:p w14:paraId="46825E48" w14:textId="77777777" w:rsidR="00DB3C54" w:rsidRPr="002A2011" w:rsidRDefault="00BF0AAD">
            <w:pPr>
              <w:spacing w:before="40" w:after="96"/>
              <w:rPr>
                <w:szCs w:val="24"/>
                <w:highlight w:val="white"/>
                <w:lang w:val="nl-NL"/>
              </w:rPr>
            </w:pPr>
            <w:r>
              <w:rPr>
                <w:szCs w:val="24"/>
                <w:lang w:val="nl"/>
              </w:rPr>
              <w:t>Modellen inclusie en acceptatie van iedereen. Herkent en deelt zorgen over onbewuste vooroordelen in zichzelf.</w:t>
            </w:r>
          </w:p>
        </w:tc>
      </w:tr>
      <w:tr w:rsidR="00DB3C54" w:rsidRPr="002A2011" w14:paraId="6ABFE2EC" w14:textId="77777777">
        <w:tc>
          <w:tcPr>
            <w:tcW w:w="524" w:type="dxa"/>
          </w:tcPr>
          <w:p w14:paraId="326C90EE" w14:textId="12AFE7DC" w:rsidR="00DB3C54" w:rsidRDefault="00BF0AAD">
            <w:pPr>
              <w:spacing w:before="96" w:after="96"/>
              <w:rPr>
                <w:b/>
                <w:szCs w:val="24"/>
              </w:rPr>
            </w:pPr>
            <w:r>
              <w:rPr>
                <w:b/>
                <w:szCs w:val="24"/>
                <w:lang w:val="nl"/>
              </w:rPr>
              <w:t>2.2</w:t>
            </w:r>
          </w:p>
        </w:tc>
        <w:tc>
          <w:tcPr>
            <w:tcW w:w="2819" w:type="dxa"/>
          </w:tcPr>
          <w:p w14:paraId="0A00D427" w14:textId="77777777" w:rsidR="00DB3C54" w:rsidRDefault="00BF0AAD">
            <w:pPr>
              <w:spacing w:before="96" w:after="96"/>
              <w:rPr>
                <w:szCs w:val="24"/>
                <w:u w:val="single"/>
              </w:rPr>
            </w:pPr>
            <w:bookmarkStart w:id="0" w:name="_heading=h.gjdgxs" w:colFirst="0" w:colLast="0"/>
            <w:bookmarkEnd w:id="0"/>
            <w:r>
              <w:rPr>
                <w:szCs w:val="24"/>
                <w:u w:val="single"/>
                <w:lang w:val="nl"/>
              </w:rPr>
              <w:t>Woorden doen ertoe</w:t>
            </w:r>
          </w:p>
          <w:p w14:paraId="5CD79FE7" w14:textId="77777777" w:rsidR="00DB3C54" w:rsidRDefault="00DB3C54">
            <w:pPr>
              <w:spacing w:before="96" w:after="96"/>
              <w:rPr>
                <w:szCs w:val="24"/>
                <w:u w:val="single"/>
              </w:rPr>
            </w:pPr>
          </w:p>
          <w:p w14:paraId="571E428C" w14:textId="77777777" w:rsidR="00DB3C54" w:rsidRPr="002A2011" w:rsidRDefault="00BF0AAD">
            <w:pPr>
              <w:numPr>
                <w:ilvl w:val="0"/>
                <w:numId w:val="2"/>
              </w:numPr>
              <w:pBdr>
                <w:top w:val="nil"/>
                <w:left w:val="nil"/>
                <w:bottom w:val="nil"/>
                <w:right w:val="nil"/>
                <w:between w:val="nil"/>
              </w:pBdr>
              <w:spacing w:before="96"/>
              <w:rPr>
                <w:color w:val="000000"/>
                <w:szCs w:val="24"/>
                <w:lang w:val="nl-NL"/>
              </w:rPr>
            </w:pPr>
            <w:r>
              <w:rPr>
                <w:color w:val="000000"/>
                <w:szCs w:val="24"/>
                <w:lang w:val="nl"/>
              </w:rPr>
              <w:t>Analyseer discriminatie door middel van mediacommunicatie</w:t>
            </w:r>
          </w:p>
          <w:p w14:paraId="3EEBE8B3" w14:textId="77777777" w:rsidR="00DB3C54" w:rsidRPr="002A2011" w:rsidRDefault="00DB3C54">
            <w:pPr>
              <w:pBdr>
                <w:top w:val="nil"/>
                <w:left w:val="nil"/>
                <w:bottom w:val="nil"/>
                <w:right w:val="nil"/>
                <w:between w:val="nil"/>
              </w:pBdr>
              <w:spacing w:before="0"/>
              <w:ind w:left="1079"/>
              <w:rPr>
                <w:color w:val="000000"/>
                <w:szCs w:val="24"/>
                <w:u w:val="single"/>
                <w:lang w:val="nl-NL"/>
              </w:rPr>
            </w:pPr>
          </w:p>
          <w:p w14:paraId="7B4AEDD2" w14:textId="77777777" w:rsidR="00DB3C54" w:rsidRPr="002A2011" w:rsidRDefault="00BF0AAD">
            <w:pPr>
              <w:numPr>
                <w:ilvl w:val="0"/>
                <w:numId w:val="2"/>
              </w:numPr>
              <w:pBdr>
                <w:top w:val="nil"/>
                <w:left w:val="nil"/>
                <w:bottom w:val="nil"/>
                <w:right w:val="nil"/>
                <w:between w:val="nil"/>
              </w:pBdr>
              <w:spacing w:before="0" w:after="96"/>
              <w:rPr>
                <w:color w:val="000000"/>
                <w:szCs w:val="24"/>
                <w:lang w:val="nl-NL"/>
              </w:rPr>
            </w:pPr>
            <w:r>
              <w:rPr>
                <w:color w:val="000000"/>
                <w:szCs w:val="24"/>
                <w:lang w:val="nl"/>
              </w:rPr>
              <w:t>Identificeer en deel onze ervaring met stereotypen</w:t>
            </w:r>
          </w:p>
          <w:p w14:paraId="0492867B" w14:textId="77777777" w:rsidR="00DB3C54" w:rsidRPr="002A2011" w:rsidRDefault="00DB3C54">
            <w:pPr>
              <w:spacing w:before="96" w:after="96"/>
              <w:rPr>
                <w:szCs w:val="24"/>
                <w:lang w:val="nl-NL"/>
              </w:rPr>
            </w:pPr>
          </w:p>
          <w:p w14:paraId="043DD376" w14:textId="77777777" w:rsidR="00DB3C54" w:rsidRDefault="00BF0AAD">
            <w:pPr>
              <w:spacing w:before="96" w:after="96"/>
              <w:rPr>
                <w:szCs w:val="24"/>
              </w:rPr>
            </w:pPr>
            <w:r>
              <w:rPr>
                <w:szCs w:val="24"/>
                <w:lang w:val="nl"/>
              </w:rPr>
              <w:t>Gerelateerde activiteiten:</w:t>
            </w:r>
          </w:p>
          <w:p w14:paraId="52E600E0" w14:textId="77777777" w:rsidR="00DB3C54" w:rsidRPr="002A2011" w:rsidRDefault="00BF0AAD">
            <w:pPr>
              <w:numPr>
                <w:ilvl w:val="0"/>
                <w:numId w:val="1"/>
              </w:numPr>
              <w:pBdr>
                <w:top w:val="nil"/>
                <w:left w:val="nil"/>
                <w:bottom w:val="nil"/>
                <w:right w:val="nil"/>
                <w:between w:val="nil"/>
              </w:pBdr>
              <w:spacing w:before="96"/>
              <w:rPr>
                <w:color w:val="000000"/>
                <w:szCs w:val="24"/>
                <w:lang w:val="nl-NL"/>
              </w:rPr>
            </w:pPr>
            <w:r>
              <w:rPr>
                <w:color w:val="000000"/>
                <w:szCs w:val="24"/>
                <w:lang w:val="nl"/>
              </w:rPr>
              <w:t>HET NIEUWS (gedetailleerde sjabloon bijgevoegd)</w:t>
            </w:r>
          </w:p>
          <w:p w14:paraId="5CBC7541" w14:textId="77777777" w:rsidR="00DB3C54" w:rsidRDefault="00BF0AAD">
            <w:pPr>
              <w:numPr>
                <w:ilvl w:val="0"/>
                <w:numId w:val="1"/>
              </w:numPr>
              <w:pBdr>
                <w:top w:val="nil"/>
                <w:left w:val="nil"/>
                <w:bottom w:val="nil"/>
                <w:right w:val="nil"/>
                <w:between w:val="nil"/>
              </w:pBdr>
              <w:spacing w:before="0"/>
              <w:rPr>
                <w:color w:val="000000"/>
                <w:szCs w:val="24"/>
              </w:rPr>
            </w:pPr>
            <w:r>
              <w:rPr>
                <w:color w:val="000000"/>
                <w:szCs w:val="24"/>
                <w:lang w:val="nl"/>
              </w:rPr>
              <w:t>WhatsAppen??</w:t>
            </w:r>
          </w:p>
          <w:p w14:paraId="44EB1D53" w14:textId="77777777" w:rsidR="00DB3C54" w:rsidRDefault="00BF0AAD">
            <w:pPr>
              <w:pBdr>
                <w:top w:val="nil"/>
                <w:left w:val="nil"/>
                <w:bottom w:val="nil"/>
                <w:right w:val="nil"/>
                <w:between w:val="nil"/>
              </w:pBdr>
              <w:spacing w:before="0" w:after="96"/>
              <w:ind w:left="720"/>
              <w:rPr>
                <w:color w:val="000000"/>
                <w:szCs w:val="24"/>
              </w:rPr>
            </w:pPr>
            <w:r>
              <w:rPr>
                <w:color w:val="000000"/>
                <w:szCs w:val="24"/>
                <w:lang w:val="nl"/>
              </w:rPr>
              <w:t>(gedetailleerde sjabloon bijgevoegd)</w:t>
            </w:r>
          </w:p>
        </w:tc>
        <w:tc>
          <w:tcPr>
            <w:tcW w:w="2097" w:type="dxa"/>
          </w:tcPr>
          <w:p w14:paraId="0AD0C369" w14:textId="77777777" w:rsidR="00DB3C54" w:rsidRPr="002A2011" w:rsidRDefault="00BF0AAD">
            <w:pPr>
              <w:spacing w:before="96" w:after="96"/>
              <w:rPr>
                <w:szCs w:val="24"/>
                <w:lang w:val="nl-NL"/>
              </w:rPr>
            </w:pPr>
            <w:r>
              <w:rPr>
                <w:szCs w:val="24"/>
                <w:lang w:val="nl"/>
              </w:rPr>
              <w:t>Begrijp hoe stereotypen geworteld zijn in digitale en mediacommunicatie.</w:t>
            </w:r>
          </w:p>
          <w:p w14:paraId="05E546D9" w14:textId="77777777" w:rsidR="00DB3C54" w:rsidRPr="002A2011" w:rsidRDefault="00DB3C54">
            <w:pPr>
              <w:spacing w:before="96" w:after="96"/>
              <w:rPr>
                <w:szCs w:val="24"/>
                <w:lang w:val="nl-NL"/>
              </w:rPr>
            </w:pPr>
          </w:p>
        </w:tc>
        <w:tc>
          <w:tcPr>
            <w:tcW w:w="2038" w:type="dxa"/>
          </w:tcPr>
          <w:p w14:paraId="47DBB30C" w14:textId="77777777" w:rsidR="00DB3C54" w:rsidRPr="002A2011" w:rsidRDefault="00BF0AAD">
            <w:pPr>
              <w:spacing w:before="40" w:after="96"/>
              <w:ind w:left="34"/>
              <w:rPr>
                <w:szCs w:val="24"/>
                <w:lang w:val="nl-NL"/>
              </w:rPr>
            </w:pPr>
            <w:r>
              <w:rPr>
                <w:szCs w:val="24"/>
                <w:lang w:val="nl"/>
              </w:rPr>
              <w:t>Begrijp en accepteer onze eigen bijdragen aan negatieve versterking van stereotypen en vind manieren om tegen stereotypen te handelen.</w:t>
            </w:r>
          </w:p>
        </w:tc>
        <w:tc>
          <w:tcPr>
            <w:tcW w:w="1872" w:type="dxa"/>
          </w:tcPr>
          <w:p w14:paraId="5270A063" w14:textId="77777777" w:rsidR="00DB3C54" w:rsidRPr="002A2011" w:rsidRDefault="00BF0AAD">
            <w:pPr>
              <w:spacing w:before="96" w:after="96"/>
              <w:rPr>
                <w:szCs w:val="24"/>
                <w:lang w:val="nl-NL"/>
              </w:rPr>
            </w:pPr>
            <w:r>
              <w:rPr>
                <w:szCs w:val="24"/>
                <w:lang w:val="nl"/>
              </w:rPr>
              <w:t xml:space="preserve">Vergroot empathie en respect voor diversiteit. </w:t>
            </w:r>
          </w:p>
          <w:p w14:paraId="45C5C550" w14:textId="77777777" w:rsidR="00DB3C54" w:rsidRPr="002A2011" w:rsidRDefault="00BF0AAD">
            <w:pPr>
              <w:spacing w:before="96" w:after="96"/>
              <w:rPr>
                <w:szCs w:val="24"/>
                <w:lang w:val="nl-NL"/>
              </w:rPr>
            </w:pPr>
            <w:r>
              <w:rPr>
                <w:szCs w:val="24"/>
                <w:lang w:val="nl"/>
              </w:rPr>
              <w:t>Neem een groeimindset aan en reflecteer op onze ervaring en die van anderen.</w:t>
            </w:r>
          </w:p>
          <w:p w14:paraId="4F2F759D" w14:textId="77777777" w:rsidR="00DB3C54" w:rsidRPr="002A2011" w:rsidRDefault="00BF0AAD">
            <w:pPr>
              <w:spacing w:before="40" w:after="96"/>
              <w:rPr>
                <w:szCs w:val="24"/>
                <w:lang w:val="nl-NL"/>
              </w:rPr>
            </w:pPr>
            <w:r>
              <w:rPr>
                <w:szCs w:val="24"/>
                <w:lang w:val="nl"/>
              </w:rPr>
              <w:t>Zie bevooroordeelde gebeurtenissen onder ogen door kritisch te denken.</w:t>
            </w:r>
          </w:p>
        </w:tc>
      </w:tr>
      <w:tr w:rsidR="00DB3C54" w:rsidRPr="002A2011" w14:paraId="437A1BB4" w14:textId="77777777">
        <w:tc>
          <w:tcPr>
            <w:tcW w:w="524" w:type="dxa"/>
          </w:tcPr>
          <w:p w14:paraId="5E715E3C" w14:textId="24831B51" w:rsidR="00DB3C54" w:rsidRDefault="00BF0AAD">
            <w:pPr>
              <w:spacing w:before="96" w:after="96"/>
              <w:rPr>
                <w:b/>
                <w:szCs w:val="24"/>
              </w:rPr>
            </w:pPr>
            <w:r>
              <w:rPr>
                <w:b/>
                <w:szCs w:val="24"/>
                <w:lang w:val="nl"/>
              </w:rPr>
              <w:t>2.3</w:t>
            </w:r>
          </w:p>
        </w:tc>
        <w:tc>
          <w:tcPr>
            <w:tcW w:w="2819" w:type="dxa"/>
          </w:tcPr>
          <w:p w14:paraId="3E391038" w14:textId="77777777" w:rsidR="00DB3C54" w:rsidRDefault="00BF0AAD">
            <w:pPr>
              <w:spacing w:before="96" w:after="96"/>
              <w:rPr>
                <w:szCs w:val="24"/>
                <w:u w:val="single"/>
              </w:rPr>
            </w:pPr>
            <w:bookmarkStart w:id="1" w:name="_heading=h.30j0zll" w:colFirst="0" w:colLast="0"/>
            <w:bookmarkEnd w:id="1"/>
            <w:r>
              <w:rPr>
                <w:szCs w:val="24"/>
                <w:u w:val="single"/>
                <w:lang w:val="nl"/>
              </w:rPr>
              <w:t>Groeps- en individuele identiteit</w:t>
            </w:r>
          </w:p>
          <w:p w14:paraId="2E3007D1" w14:textId="77777777" w:rsidR="00DB3C54" w:rsidRPr="002A2011" w:rsidRDefault="00BF0AAD">
            <w:pPr>
              <w:numPr>
                <w:ilvl w:val="0"/>
                <w:numId w:val="4"/>
              </w:numPr>
              <w:rPr>
                <w:szCs w:val="24"/>
                <w:lang w:val="nl-NL"/>
              </w:rPr>
            </w:pPr>
            <w:r>
              <w:rPr>
                <w:szCs w:val="24"/>
                <w:lang w:val="nl"/>
              </w:rPr>
              <w:t>Geef uw mensen tools om zich uit te spreken en een nieuw perspectief op inclusie te creëren</w:t>
            </w:r>
          </w:p>
          <w:p w14:paraId="03A89DBE" w14:textId="77777777" w:rsidR="00DB3C54" w:rsidRPr="002A2011" w:rsidRDefault="00DB3C54">
            <w:pPr>
              <w:pBdr>
                <w:top w:val="nil"/>
                <w:left w:val="nil"/>
                <w:bottom w:val="nil"/>
                <w:right w:val="nil"/>
                <w:between w:val="nil"/>
              </w:pBdr>
              <w:spacing w:before="0"/>
              <w:ind w:left="720"/>
              <w:rPr>
                <w:color w:val="000000"/>
                <w:szCs w:val="24"/>
                <w:u w:val="single"/>
                <w:lang w:val="nl-NL"/>
              </w:rPr>
            </w:pPr>
          </w:p>
          <w:p w14:paraId="76B83A11" w14:textId="77777777" w:rsidR="00DB3C54" w:rsidRPr="002A2011" w:rsidRDefault="00BF0AAD">
            <w:pPr>
              <w:numPr>
                <w:ilvl w:val="0"/>
                <w:numId w:val="3"/>
              </w:numPr>
              <w:pBdr>
                <w:top w:val="nil"/>
                <w:left w:val="nil"/>
                <w:bottom w:val="nil"/>
                <w:right w:val="nil"/>
                <w:between w:val="nil"/>
              </w:pBdr>
              <w:spacing w:before="0" w:after="96"/>
              <w:rPr>
                <w:color w:val="000000"/>
                <w:szCs w:val="24"/>
                <w:lang w:val="nl-NL"/>
              </w:rPr>
            </w:pPr>
            <w:r>
              <w:rPr>
                <w:color w:val="000000"/>
                <w:szCs w:val="24"/>
                <w:lang w:val="nl"/>
              </w:rPr>
              <w:t>Identificeer bevooroordeelde mechanismen die leiden tot stereotypering van anderen in gemeenschappen</w:t>
            </w:r>
          </w:p>
          <w:p w14:paraId="14989949" w14:textId="77777777" w:rsidR="00DB3C54" w:rsidRDefault="00BF0AAD">
            <w:pPr>
              <w:spacing w:before="96" w:after="96"/>
              <w:rPr>
                <w:szCs w:val="24"/>
              </w:rPr>
            </w:pPr>
            <w:r>
              <w:rPr>
                <w:szCs w:val="24"/>
                <w:lang w:val="nl"/>
              </w:rPr>
              <w:t>Gerelateerde activiteiten:</w:t>
            </w:r>
          </w:p>
          <w:p w14:paraId="3D3D49C8" w14:textId="77777777" w:rsidR="00DB3C54" w:rsidRDefault="00BF0AAD">
            <w:pPr>
              <w:numPr>
                <w:ilvl w:val="0"/>
                <w:numId w:val="1"/>
              </w:numPr>
              <w:pBdr>
                <w:top w:val="nil"/>
                <w:left w:val="nil"/>
                <w:bottom w:val="nil"/>
                <w:right w:val="nil"/>
                <w:between w:val="nil"/>
              </w:pBdr>
              <w:spacing w:before="96"/>
              <w:rPr>
                <w:color w:val="000000"/>
                <w:szCs w:val="24"/>
              </w:rPr>
            </w:pPr>
            <w:r>
              <w:rPr>
                <w:color w:val="000000"/>
                <w:szCs w:val="24"/>
                <w:lang w:val="nl"/>
              </w:rPr>
              <w:t>Mijn naam terugvorderen</w:t>
            </w:r>
          </w:p>
          <w:p w14:paraId="73444356" w14:textId="77777777" w:rsidR="00DB3C54" w:rsidRDefault="00BF0AAD">
            <w:pPr>
              <w:pBdr>
                <w:top w:val="nil"/>
                <w:left w:val="nil"/>
                <w:bottom w:val="nil"/>
                <w:right w:val="nil"/>
                <w:between w:val="nil"/>
              </w:pBdr>
              <w:spacing w:before="0"/>
              <w:ind w:left="720"/>
              <w:rPr>
                <w:color w:val="000000"/>
                <w:szCs w:val="24"/>
              </w:rPr>
            </w:pPr>
            <w:r>
              <w:rPr>
                <w:color w:val="000000"/>
                <w:szCs w:val="24"/>
                <w:lang w:val="nl"/>
              </w:rPr>
              <w:t>(gedetailleerde sjabloon bijgevoegd)</w:t>
            </w:r>
          </w:p>
          <w:p w14:paraId="1CD8379A" w14:textId="77777777" w:rsidR="00DB3C54" w:rsidRPr="002A2011" w:rsidRDefault="00BF0AAD">
            <w:pPr>
              <w:numPr>
                <w:ilvl w:val="0"/>
                <w:numId w:val="1"/>
              </w:numPr>
              <w:pBdr>
                <w:top w:val="nil"/>
                <w:left w:val="nil"/>
                <w:bottom w:val="nil"/>
                <w:right w:val="nil"/>
                <w:between w:val="nil"/>
              </w:pBdr>
              <w:spacing w:before="0" w:after="96"/>
              <w:rPr>
                <w:color w:val="000000"/>
                <w:szCs w:val="24"/>
                <w:lang w:val="nl-NL"/>
              </w:rPr>
            </w:pPr>
            <w:r>
              <w:rPr>
                <w:color w:val="000000"/>
                <w:szCs w:val="24"/>
                <w:lang w:val="nl"/>
              </w:rPr>
              <w:lastRenderedPageBreak/>
              <w:t>Stand Up Bigotry (gedetailleerde sjabloon bijgevoegd)</w:t>
            </w:r>
          </w:p>
        </w:tc>
        <w:tc>
          <w:tcPr>
            <w:tcW w:w="2097" w:type="dxa"/>
          </w:tcPr>
          <w:p w14:paraId="2DD9BE14" w14:textId="77777777" w:rsidR="00DB3C54" w:rsidRPr="002A2011" w:rsidRDefault="00BF0AAD">
            <w:pPr>
              <w:spacing w:before="96" w:after="96"/>
              <w:rPr>
                <w:szCs w:val="24"/>
                <w:lang w:val="nl-NL"/>
              </w:rPr>
            </w:pPr>
            <w:r>
              <w:rPr>
                <w:szCs w:val="24"/>
                <w:lang w:val="nl"/>
              </w:rPr>
              <w:lastRenderedPageBreak/>
              <w:t>Begrijp hoe stereotypen onze gedachten en onze acties beïnvloeden.</w:t>
            </w:r>
          </w:p>
          <w:p w14:paraId="155DC269" w14:textId="77777777" w:rsidR="00DB3C54" w:rsidRPr="002A2011" w:rsidRDefault="00BF0AAD">
            <w:pPr>
              <w:spacing w:before="96" w:after="96"/>
              <w:rPr>
                <w:szCs w:val="24"/>
                <w:lang w:val="nl-NL"/>
              </w:rPr>
            </w:pPr>
            <w:r>
              <w:rPr>
                <w:szCs w:val="24"/>
                <w:lang w:val="nl"/>
              </w:rPr>
              <w:t>Begrijp hoe stereotypen kunnen worden omgekeerd in ervaringen die moeten worden gedeeld.</w:t>
            </w:r>
          </w:p>
        </w:tc>
        <w:tc>
          <w:tcPr>
            <w:tcW w:w="2038" w:type="dxa"/>
          </w:tcPr>
          <w:p w14:paraId="48F7F203" w14:textId="77777777" w:rsidR="00DB3C54" w:rsidRPr="002A2011" w:rsidRDefault="00BF0AAD">
            <w:pPr>
              <w:spacing w:before="40" w:after="96"/>
              <w:ind w:left="34"/>
              <w:rPr>
                <w:szCs w:val="24"/>
                <w:lang w:val="nl-NL"/>
              </w:rPr>
            </w:pPr>
            <w:r>
              <w:rPr>
                <w:szCs w:val="24"/>
                <w:lang w:val="nl"/>
              </w:rPr>
              <w:t>Het begrijpen en accepteren van onze eigen bijdragen aan negatieve versterking van stereotypen en het vinden van manieren om te handelen tegen stereotypen.</w:t>
            </w:r>
          </w:p>
        </w:tc>
        <w:tc>
          <w:tcPr>
            <w:tcW w:w="1872" w:type="dxa"/>
          </w:tcPr>
          <w:p w14:paraId="6B0C3BF2" w14:textId="77777777" w:rsidR="00DB3C54" w:rsidRPr="002A2011" w:rsidRDefault="00BF0AAD">
            <w:pPr>
              <w:spacing w:before="96" w:after="96"/>
              <w:rPr>
                <w:szCs w:val="24"/>
                <w:lang w:val="nl-NL"/>
              </w:rPr>
            </w:pPr>
            <w:r>
              <w:rPr>
                <w:szCs w:val="24"/>
                <w:lang w:val="nl"/>
              </w:rPr>
              <w:t xml:space="preserve">Vergroot empathie en respect voor diversiteit. </w:t>
            </w:r>
          </w:p>
          <w:p w14:paraId="4F64B178" w14:textId="77777777" w:rsidR="00DB3C54" w:rsidRPr="002A2011" w:rsidRDefault="00BF0AAD">
            <w:pPr>
              <w:spacing w:before="96" w:after="96"/>
              <w:rPr>
                <w:szCs w:val="24"/>
                <w:lang w:val="nl-NL"/>
              </w:rPr>
            </w:pPr>
            <w:r>
              <w:rPr>
                <w:szCs w:val="24"/>
                <w:lang w:val="nl"/>
              </w:rPr>
              <w:t>Neem een groeimindset aan en reflecteer op onze ervaring en die van anderen.</w:t>
            </w:r>
          </w:p>
          <w:p w14:paraId="64F91A7D" w14:textId="77777777" w:rsidR="00DB3C54" w:rsidRPr="002A2011" w:rsidRDefault="00BF0AAD">
            <w:pPr>
              <w:spacing w:before="96" w:after="96"/>
              <w:rPr>
                <w:szCs w:val="24"/>
                <w:lang w:val="nl-NL"/>
              </w:rPr>
            </w:pPr>
            <w:r>
              <w:rPr>
                <w:szCs w:val="24"/>
                <w:lang w:val="nl"/>
              </w:rPr>
              <w:t>Zie bevooroordeelde gebeurtenissen onder ogen door kritisch te denken.</w:t>
            </w:r>
          </w:p>
        </w:tc>
      </w:tr>
    </w:tbl>
    <w:p w14:paraId="3E85B09E" w14:textId="75B2E7BD" w:rsidR="00DB3C54" w:rsidRPr="002A2011" w:rsidRDefault="00DB3C54">
      <w:pPr>
        <w:rPr>
          <w:lang w:val="nl-NL"/>
        </w:rPr>
      </w:pPr>
    </w:p>
    <w:sectPr w:rsidR="00DB3C54" w:rsidRPr="002A2011">
      <w:headerReference w:type="default"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A9275A" w14:textId="77777777" w:rsidR="00E6173B" w:rsidRDefault="00E6173B">
      <w:pPr>
        <w:spacing w:before="0" w:after="0" w:line="240" w:lineRule="auto"/>
      </w:pPr>
      <w:r>
        <w:rPr>
          <w:lang w:val="nl"/>
        </w:rPr>
        <w:separator/>
      </w:r>
    </w:p>
  </w:endnote>
  <w:endnote w:type="continuationSeparator" w:id="0">
    <w:p w14:paraId="069007C6" w14:textId="77777777" w:rsidR="00E6173B" w:rsidRDefault="00E6173B">
      <w:pPr>
        <w:spacing w:before="0" w:after="0" w:line="240" w:lineRule="auto"/>
      </w:pPr>
      <w:r>
        <w:rPr>
          <w:lang w:val="n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74896A" w14:textId="0B2F9CA1" w:rsidR="00DB3C54" w:rsidRPr="002A2011" w:rsidRDefault="000859BC">
    <w:pPr>
      <w:pBdr>
        <w:top w:val="nil"/>
        <w:left w:val="nil"/>
        <w:bottom w:val="nil"/>
        <w:right w:val="nil"/>
        <w:between w:val="nil"/>
      </w:pBdr>
      <w:tabs>
        <w:tab w:val="center" w:pos="4680"/>
        <w:tab w:val="right" w:pos="9360"/>
      </w:tabs>
      <w:spacing w:after="0" w:line="240" w:lineRule="auto"/>
      <w:rPr>
        <w:color w:val="000000"/>
        <w:lang w:val="nl-NL"/>
      </w:rPr>
    </w:pPr>
    <w:r>
      <w:rPr>
        <w:noProof/>
        <w:color w:val="000000"/>
        <w:lang w:val="nl-NL"/>
      </w:rPr>
      <w:drawing>
        <wp:anchor distT="0" distB="0" distL="114300" distR="114300" simplePos="0" relativeHeight="251661312" behindDoc="1" locked="0" layoutInCell="1" allowOverlap="1" wp14:anchorId="3C987480" wp14:editId="4BDAEB0E">
          <wp:simplePos x="0" y="0"/>
          <wp:positionH relativeFrom="column">
            <wp:posOffset>0</wp:posOffset>
          </wp:positionH>
          <wp:positionV relativeFrom="paragraph">
            <wp:posOffset>-138430</wp:posOffset>
          </wp:positionV>
          <wp:extent cx="5943600" cy="978535"/>
          <wp:effectExtent l="0" t="0" r="0" b="0"/>
          <wp:wrapNone/>
          <wp:docPr id="3" name="Picture 3" descr="A close up of a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messa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943600" cy="97853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84C006" w14:textId="77777777" w:rsidR="00E6173B" w:rsidRDefault="00E6173B">
      <w:pPr>
        <w:spacing w:before="0" w:after="0" w:line="240" w:lineRule="auto"/>
      </w:pPr>
      <w:r>
        <w:rPr>
          <w:lang w:val="nl"/>
        </w:rPr>
        <w:separator/>
      </w:r>
    </w:p>
  </w:footnote>
  <w:footnote w:type="continuationSeparator" w:id="0">
    <w:p w14:paraId="171088E7" w14:textId="77777777" w:rsidR="00E6173B" w:rsidRDefault="00E6173B">
      <w:pPr>
        <w:spacing w:before="0" w:after="0" w:line="240" w:lineRule="auto"/>
      </w:pPr>
      <w:r>
        <w:rPr>
          <w:lang w:val="nl"/>
        </w:rPr>
        <w:continuationSeparator/>
      </w:r>
    </w:p>
  </w:footnote>
  <w:footnote w:id="1">
    <w:p w14:paraId="0B8FC014" w14:textId="77777777" w:rsidR="00DB3C54" w:rsidRPr="002A2011" w:rsidRDefault="00BF0AAD">
      <w:pPr>
        <w:pBdr>
          <w:top w:val="nil"/>
          <w:left w:val="nil"/>
          <w:bottom w:val="nil"/>
          <w:right w:val="nil"/>
          <w:between w:val="nil"/>
        </w:pBdr>
        <w:spacing w:before="100" w:after="0" w:line="240" w:lineRule="auto"/>
        <w:rPr>
          <w:color w:val="000000"/>
          <w:sz w:val="20"/>
          <w:szCs w:val="20"/>
          <w:lang w:val="nl-NL"/>
        </w:rPr>
      </w:pPr>
      <w:r>
        <w:rPr>
          <w:vertAlign w:val="superscript"/>
          <w:lang w:val="nl"/>
        </w:rPr>
        <w:footnoteRef/>
      </w:r>
      <w:r>
        <w:rPr>
          <w:color w:val="000000"/>
          <w:sz w:val="20"/>
          <w:szCs w:val="20"/>
          <w:lang w:val="nl"/>
        </w:rPr>
        <w:t xml:space="preserve"> Definitie van kennis, vaardigheden en attitudes volgens het Europees referentiekader voor sleutelcompetenties voor een leven lang leren: </w:t>
      </w:r>
      <w:hyperlink r:id="rId1">
        <w:r>
          <w:rPr>
            <w:color w:val="0563C1"/>
            <w:sz w:val="20"/>
            <w:szCs w:val="20"/>
            <w:u w:val="single"/>
            <w:lang w:val="nl"/>
          </w:rPr>
          <w:t>https://eur-lex.europa.eu/legal-content/NL/TXT/PDF/?uri=CELEX:32018H0604(01)&amp;rid=7</w:t>
        </w:r>
      </w:hyperlink>
      <w:r>
        <w:rPr>
          <w:color w:val="000000"/>
          <w:sz w:val="20"/>
          <w:szCs w:val="20"/>
          <w:lang w:val="nl"/>
        </w:rPr>
        <w:t xml:space="preserve"> [27.06.2019]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D3887" w14:textId="36024FD5" w:rsidR="00DB3C54" w:rsidRDefault="00EC11AB">
    <w:pPr>
      <w:pBdr>
        <w:top w:val="nil"/>
        <w:left w:val="nil"/>
        <w:bottom w:val="nil"/>
        <w:right w:val="nil"/>
        <w:between w:val="nil"/>
      </w:pBdr>
      <w:tabs>
        <w:tab w:val="center" w:pos="4680"/>
        <w:tab w:val="right" w:pos="9360"/>
      </w:tabs>
      <w:spacing w:after="0" w:line="240" w:lineRule="auto"/>
      <w:jc w:val="center"/>
      <w:rPr>
        <w:color w:val="000000"/>
      </w:rPr>
    </w:pPr>
    <w:r>
      <w:rPr>
        <w:noProof/>
        <w:color w:val="000000"/>
      </w:rPr>
      <w:drawing>
        <wp:anchor distT="0" distB="0" distL="114300" distR="114300" simplePos="0" relativeHeight="251660288" behindDoc="1" locked="0" layoutInCell="1" allowOverlap="1" wp14:anchorId="11BD7D04" wp14:editId="6FEFE32E">
          <wp:simplePos x="0" y="0"/>
          <wp:positionH relativeFrom="column">
            <wp:posOffset>4432300</wp:posOffset>
          </wp:positionH>
          <wp:positionV relativeFrom="paragraph">
            <wp:posOffset>-114300</wp:posOffset>
          </wp:positionV>
          <wp:extent cx="2057400" cy="584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color w:val="000000"/>
      </w:rPr>
      <w:drawing>
        <wp:anchor distT="0" distB="0" distL="114300" distR="114300" simplePos="0" relativeHeight="251659264" behindDoc="1" locked="0" layoutInCell="1" allowOverlap="1" wp14:anchorId="7ECEC7B3" wp14:editId="03046129">
          <wp:simplePos x="0" y="0"/>
          <wp:positionH relativeFrom="column">
            <wp:posOffset>-800100</wp:posOffset>
          </wp:positionH>
          <wp:positionV relativeFrom="paragraph">
            <wp:posOffset>-304800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p w14:paraId="328E514F" w14:textId="77777777" w:rsidR="00DB3C54" w:rsidRDefault="00DB3C54">
    <w:pPr>
      <w:pBdr>
        <w:top w:val="nil"/>
        <w:left w:val="nil"/>
        <w:bottom w:val="nil"/>
        <w:right w:val="nil"/>
        <w:between w:val="nil"/>
      </w:pBdr>
      <w:tabs>
        <w:tab w:val="center" w:pos="4680"/>
        <w:tab w:val="right" w:pos="9360"/>
      </w:tabs>
      <w:spacing w:after="0" w:line="240" w:lineRule="auto"/>
      <w:jc w:val="center"/>
      <w:rPr>
        <w:color w:val="000000"/>
      </w:rPr>
    </w:pPr>
  </w:p>
  <w:p w14:paraId="18D21B5E" w14:textId="77777777" w:rsidR="00DB3C54" w:rsidRDefault="00DB3C54">
    <w:pPr>
      <w:pBdr>
        <w:top w:val="nil"/>
        <w:left w:val="nil"/>
        <w:bottom w:val="nil"/>
        <w:right w:val="nil"/>
        <w:between w:val="nil"/>
      </w:pBdr>
      <w:tabs>
        <w:tab w:val="center" w:pos="4680"/>
        <w:tab w:val="right" w:pos="9360"/>
      </w:tabs>
      <w:spacing w:after="0" w:line="240" w:lineRule="auto"/>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6D7961"/>
    <w:multiLevelType w:val="multilevel"/>
    <w:tmpl w:val="8D1E3142"/>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C236DAC"/>
    <w:multiLevelType w:val="multilevel"/>
    <w:tmpl w:val="4CC0C1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A98557C"/>
    <w:multiLevelType w:val="multilevel"/>
    <w:tmpl w:val="9C9EF8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CE44276"/>
    <w:multiLevelType w:val="multilevel"/>
    <w:tmpl w:val="E48EA9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60A3CDF"/>
    <w:multiLevelType w:val="multilevel"/>
    <w:tmpl w:val="D390FD28"/>
    <w:lvl w:ilvl="0">
      <w:start w:val="1"/>
      <w:numFmt w:val="bullet"/>
      <w:lvlText w:val="●"/>
      <w:lvlJc w:val="left"/>
      <w:pPr>
        <w:ind w:left="1079" w:hanging="360"/>
      </w:pPr>
      <w:rPr>
        <w:rFonts w:ascii="Noto Sans Symbols" w:eastAsia="Noto Sans Symbols" w:hAnsi="Noto Sans Symbols" w:cs="Noto Sans Symbols"/>
      </w:rPr>
    </w:lvl>
    <w:lvl w:ilvl="1">
      <w:start w:val="1"/>
      <w:numFmt w:val="bullet"/>
      <w:lvlText w:val="o"/>
      <w:lvlJc w:val="left"/>
      <w:pPr>
        <w:ind w:left="1799" w:hanging="360"/>
      </w:pPr>
      <w:rPr>
        <w:rFonts w:ascii="Courier New" w:eastAsia="Courier New" w:hAnsi="Courier New" w:cs="Courier New"/>
      </w:rPr>
    </w:lvl>
    <w:lvl w:ilvl="2">
      <w:start w:val="1"/>
      <w:numFmt w:val="bullet"/>
      <w:lvlText w:val="▪"/>
      <w:lvlJc w:val="left"/>
      <w:pPr>
        <w:ind w:left="2519" w:hanging="360"/>
      </w:pPr>
      <w:rPr>
        <w:rFonts w:ascii="Noto Sans Symbols" w:eastAsia="Noto Sans Symbols" w:hAnsi="Noto Sans Symbols" w:cs="Noto Sans Symbols"/>
      </w:rPr>
    </w:lvl>
    <w:lvl w:ilvl="3">
      <w:start w:val="1"/>
      <w:numFmt w:val="bullet"/>
      <w:lvlText w:val="●"/>
      <w:lvlJc w:val="left"/>
      <w:pPr>
        <w:ind w:left="3239" w:hanging="360"/>
      </w:pPr>
      <w:rPr>
        <w:rFonts w:ascii="Noto Sans Symbols" w:eastAsia="Noto Sans Symbols" w:hAnsi="Noto Sans Symbols" w:cs="Noto Sans Symbols"/>
      </w:rPr>
    </w:lvl>
    <w:lvl w:ilvl="4">
      <w:start w:val="1"/>
      <w:numFmt w:val="bullet"/>
      <w:lvlText w:val="o"/>
      <w:lvlJc w:val="left"/>
      <w:pPr>
        <w:ind w:left="3959" w:hanging="360"/>
      </w:pPr>
      <w:rPr>
        <w:rFonts w:ascii="Courier New" w:eastAsia="Courier New" w:hAnsi="Courier New" w:cs="Courier New"/>
      </w:rPr>
    </w:lvl>
    <w:lvl w:ilvl="5">
      <w:start w:val="1"/>
      <w:numFmt w:val="bullet"/>
      <w:lvlText w:val="▪"/>
      <w:lvlJc w:val="left"/>
      <w:pPr>
        <w:ind w:left="4679" w:hanging="360"/>
      </w:pPr>
      <w:rPr>
        <w:rFonts w:ascii="Noto Sans Symbols" w:eastAsia="Noto Sans Symbols" w:hAnsi="Noto Sans Symbols" w:cs="Noto Sans Symbols"/>
      </w:rPr>
    </w:lvl>
    <w:lvl w:ilvl="6">
      <w:start w:val="1"/>
      <w:numFmt w:val="bullet"/>
      <w:lvlText w:val="●"/>
      <w:lvlJc w:val="left"/>
      <w:pPr>
        <w:ind w:left="5399" w:hanging="360"/>
      </w:pPr>
      <w:rPr>
        <w:rFonts w:ascii="Noto Sans Symbols" w:eastAsia="Noto Sans Symbols" w:hAnsi="Noto Sans Symbols" w:cs="Noto Sans Symbols"/>
      </w:rPr>
    </w:lvl>
    <w:lvl w:ilvl="7">
      <w:start w:val="1"/>
      <w:numFmt w:val="bullet"/>
      <w:lvlText w:val="o"/>
      <w:lvlJc w:val="left"/>
      <w:pPr>
        <w:ind w:left="6119" w:hanging="360"/>
      </w:pPr>
      <w:rPr>
        <w:rFonts w:ascii="Courier New" w:eastAsia="Courier New" w:hAnsi="Courier New" w:cs="Courier New"/>
      </w:rPr>
    </w:lvl>
    <w:lvl w:ilvl="8">
      <w:start w:val="1"/>
      <w:numFmt w:val="bullet"/>
      <w:lvlText w:val="▪"/>
      <w:lvlJc w:val="left"/>
      <w:pPr>
        <w:ind w:left="6839" w:hanging="360"/>
      </w:pPr>
      <w:rPr>
        <w:rFonts w:ascii="Noto Sans Symbols" w:eastAsia="Noto Sans Symbols" w:hAnsi="Noto Sans Symbols" w:cs="Noto Sans Symbols"/>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C54"/>
    <w:rsid w:val="000859BC"/>
    <w:rsid w:val="002A2011"/>
    <w:rsid w:val="008E1AE8"/>
    <w:rsid w:val="009477D5"/>
    <w:rsid w:val="00BF0AAD"/>
    <w:rsid w:val="00DB3C54"/>
    <w:rsid w:val="00E54BF2"/>
    <w:rsid w:val="00E6173B"/>
    <w:rsid w:val="00EC11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0C4019"/>
  <w15:docId w15:val="{3CAF972E-56D3-EB4D-BFF0-9EF3D57DF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it-IT" w:bidi="ar-SA"/>
      </w:rPr>
    </w:rPrDefault>
    <w:pPrDefault>
      <w:pPr>
        <w:spacing w:before="120"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2DD"/>
  </w:style>
  <w:style w:type="paragraph" w:styleId="Heading1">
    <w:name w:val="heading 1"/>
    <w:basedOn w:val="Normal"/>
    <w:next w:val="Normal"/>
    <w:uiPriority w:val="9"/>
    <w:qFormat/>
    <w:pPr>
      <w:keepNext/>
      <w:keepLines/>
      <w:spacing w:before="48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5C67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718"/>
  </w:style>
  <w:style w:type="character" w:styleId="Hyperlink">
    <w:name w:val="Hyperlink"/>
    <w:basedOn w:val="DefaultParagraphFont"/>
    <w:uiPriority w:val="99"/>
    <w:unhideWhenUsed/>
    <w:rsid w:val="004362DD"/>
    <w:rPr>
      <w:color w:val="0563C1" w:themeColor="hyperlink"/>
      <w:u w:val="single"/>
    </w:rPr>
  </w:style>
  <w:style w:type="paragraph" w:styleId="FootnoteText">
    <w:name w:val="footnote text"/>
    <w:basedOn w:val="Normal"/>
    <w:link w:val="FootnoteTextChar"/>
    <w:uiPriority w:val="99"/>
    <w:unhideWhenUsed/>
    <w:rsid w:val="004362DD"/>
    <w:pPr>
      <w:spacing w:before="100" w:after="0" w:line="240" w:lineRule="auto"/>
    </w:pPr>
    <w:rPr>
      <w:rFonts w:eastAsiaTheme="minorEastAsia"/>
      <w:sz w:val="20"/>
      <w:szCs w:val="20"/>
      <w:lang w:val="sl-SI"/>
    </w:rPr>
  </w:style>
  <w:style w:type="character" w:customStyle="1" w:styleId="FootnoteTextChar">
    <w:name w:val="Footnote Text Char"/>
    <w:basedOn w:val="DefaultParagraphFont"/>
    <w:link w:val="FootnoteText"/>
    <w:uiPriority w:val="99"/>
    <w:rsid w:val="004362DD"/>
    <w:rPr>
      <w:rFonts w:eastAsiaTheme="minorEastAsia"/>
      <w:sz w:val="20"/>
      <w:szCs w:val="20"/>
      <w:lang w:val="sl-SI"/>
    </w:rPr>
  </w:style>
  <w:style w:type="character" w:styleId="FootnoteReference">
    <w:name w:val="footnote reference"/>
    <w:basedOn w:val="DefaultParagraphFont"/>
    <w:uiPriority w:val="99"/>
    <w:unhideWhenUsed/>
    <w:rsid w:val="004362DD"/>
    <w:rPr>
      <w:vertAlign w:val="superscript"/>
    </w:rPr>
  </w:style>
  <w:style w:type="paragraph" w:styleId="ListParagraph">
    <w:name w:val="List Paragraph"/>
    <w:basedOn w:val="Normal"/>
    <w:uiPriority w:val="34"/>
    <w:qFormat/>
    <w:rsid w:val="004362DD"/>
    <w:pPr>
      <w:spacing w:before="100" w:after="200"/>
      <w:ind w:left="720"/>
      <w:contextualSpacing/>
    </w:pPr>
    <w:rPr>
      <w:rFonts w:eastAsiaTheme="minorEastAsia"/>
      <w:szCs w:val="20"/>
      <w:lang w:val="sl-SI"/>
    </w:rPr>
  </w:style>
  <w:style w:type="table" w:styleId="TableGrid">
    <w:name w:val="Table Grid"/>
    <w:basedOn w:val="TableNormal"/>
    <w:uiPriority w:val="39"/>
    <w:rsid w:val="004362DD"/>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sz w:val="20"/>
      <w:szCs w:val="20"/>
    </w:rPr>
    <w:tblPr>
      <w:tblStyleRowBandSize w:val="1"/>
      <w:tblStyleColBandSize w:val="1"/>
      <w:tblCellMar>
        <w:left w:w="108" w:type="dxa"/>
        <w:right w:w="108" w:type="dxa"/>
      </w:tblCellMar>
    </w:tblPr>
  </w:style>
  <w:style w:type="character" w:styleId="PlaceholderText">
    <w:name w:val="Placeholder Text"/>
    <w:basedOn w:val="DefaultParagraphFont"/>
    <w:uiPriority w:val="99"/>
    <w:semiHidden/>
    <w:rsid w:val="002A201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PDF/?uri=CELEX:32018H0604(01)&amp;rid=7"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A/uZWmW+0OxCSMULdVNBFO26hQ==">AMUW2mWytGy8RRufWWX1N+lhwfeYxlqos1pU7vPwQQORTekC7VWzeOWf8o505oFU244fDf0RNno33D4DUl7ra1WaXIeIl9URGLleci7SQ4vc+CGnx1cCM+NO1KBKs8Ozk+WqVsi3LCHF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490</Words>
  <Characters>2797</Characters>
  <Application>Microsoft Office Word</Application>
  <DocSecurity>0</DocSecurity>
  <Lines>23</Lines>
  <Paragraphs>6</Paragraphs>
  <ScaleCrop>false</ScaleCrop>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Andry Moustras</cp:lastModifiedBy>
  <cp:revision>3</cp:revision>
  <dcterms:created xsi:type="dcterms:W3CDTF">2022-01-18T16:39:00Z</dcterms:created>
  <dcterms:modified xsi:type="dcterms:W3CDTF">2023-07-26T14:36:00Z</dcterms:modified>
  <cp:category/>
</cp:coreProperties>
</file>